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B1" w:rsidRDefault="00590AB1" w:rsidP="00590AB1">
      <w:pPr>
        <w:keepLines/>
        <w:spacing w:line="276" w:lineRule="auto"/>
        <w:rPr>
          <w:rFonts w:ascii="Rubik Light" w:hAnsi="Rubik Light" w:cs="Rubik Light"/>
          <w:b/>
          <w:color w:val="000000" w:themeColor="text1"/>
        </w:rPr>
      </w:pPr>
    </w:p>
    <w:p w:rsidR="00590AB1" w:rsidRDefault="00590AB1" w:rsidP="00590AB1">
      <w:pPr>
        <w:keepLines/>
        <w:spacing w:line="276" w:lineRule="auto"/>
        <w:rPr>
          <w:rFonts w:ascii="Rubik Light" w:hAnsi="Rubik Light" w:cs="Rubik Light"/>
          <w:b/>
          <w:color w:val="000000" w:themeColor="text1"/>
        </w:rPr>
      </w:pPr>
    </w:p>
    <w:p w:rsidR="00590AB1" w:rsidRDefault="00590AB1" w:rsidP="00590AB1">
      <w:pPr>
        <w:jc w:val="center"/>
        <w:outlineLvl w:val="0"/>
        <w:rPr>
          <w:rFonts w:ascii="Rubik Light" w:hAnsi="Rubik Light" w:cs="Rubik Light"/>
          <w:b/>
          <w:color w:val="000000" w:themeColor="text1"/>
        </w:rPr>
      </w:pPr>
      <w:r>
        <w:rPr>
          <w:rFonts w:ascii="Rubik Light" w:hAnsi="Rubik Light" w:cs="Rubik Light"/>
          <w:b/>
          <w:color w:val="000000" w:themeColor="text1"/>
        </w:rPr>
        <w:t>MENSAGEM LEGISLATIVA Nº 67, DE 19 DE OUTUBRO DE 2018.</w:t>
      </w:r>
    </w:p>
    <w:p w:rsidR="00590AB1" w:rsidRDefault="00590AB1" w:rsidP="00590AB1">
      <w:pPr>
        <w:jc w:val="both"/>
        <w:outlineLvl w:val="0"/>
        <w:rPr>
          <w:rFonts w:ascii="Rubik Light" w:hAnsi="Rubik Light" w:cs="Rubik Light"/>
          <w:color w:val="000000" w:themeColor="text1"/>
        </w:rPr>
      </w:pPr>
    </w:p>
    <w:p w:rsidR="00590AB1" w:rsidRDefault="00590AB1" w:rsidP="00590AB1">
      <w:pPr>
        <w:jc w:val="both"/>
        <w:outlineLvl w:val="0"/>
        <w:rPr>
          <w:rFonts w:ascii="Rubik Light" w:hAnsi="Rubik Light" w:cs="Rubik Light"/>
          <w:color w:val="000000" w:themeColor="text1"/>
        </w:rPr>
      </w:pPr>
      <w:r>
        <w:rPr>
          <w:rFonts w:ascii="Rubik Light" w:hAnsi="Rubik Light" w:cs="Rubik Light"/>
          <w:color w:val="000000" w:themeColor="text1"/>
        </w:rPr>
        <w:t>Excelentíssimo Presidente da Câmara Municipal de Campo Novo do Parecis, Sr. Vanderlei Marcos Pulga Baioto.</w:t>
      </w:r>
    </w:p>
    <w:p w:rsidR="00590AB1" w:rsidRDefault="00590AB1" w:rsidP="00590AB1">
      <w:pPr>
        <w:jc w:val="center"/>
        <w:outlineLvl w:val="0"/>
        <w:rPr>
          <w:rFonts w:ascii="Rubik Light" w:hAnsi="Rubik Light" w:cs="Rubik Light"/>
          <w:b/>
          <w:color w:val="000000" w:themeColor="text1"/>
        </w:rPr>
      </w:pPr>
    </w:p>
    <w:p w:rsidR="00590AB1" w:rsidRDefault="00590AB1" w:rsidP="00590AB1">
      <w:pPr>
        <w:ind w:firstLine="1701"/>
        <w:jc w:val="both"/>
        <w:outlineLvl w:val="0"/>
        <w:rPr>
          <w:rFonts w:ascii="Rubik Light" w:hAnsi="Rubik Light" w:cs="Rubik Light"/>
          <w:color w:val="000000" w:themeColor="text1"/>
        </w:rPr>
      </w:pPr>
      <w:r>
        <w:rPr>
          <w:rFonts w:ascii="Rubik Light" w:hAnsi="Rubik Light" w:cs="Rubik Light"/>
          <w:color w:val="000000" w:themeColor="text1"/>
        </w:rPr>
        <w:t>Senhores(as) Vereadores(as).</w:t>
      </w:r>
    </w:p>
    <w:p w:rsidR="00590AB1" w:rsidRDefault="00590AB1" w:rsidP="00590AB1">
      <w:pPr>
        <w:pStyle w:val="Recuodecorpodetexto"/>
        <w:tabs>
          <w:tab w:val="left" w:pos="0"/>
        </w:tabs>
        <w:spacing w:after="160" w:line="276" w:lineRule="auto"/>
        <w:ind w:left="0" w:firstLine="1701"/>
        <w:rPr>
          <w:rFonts w:ascii="Rubik Light" w:hAnsi="Rubik Light" w:cs="Rubik Light"/>
          <w:b w:val="0"/>
          <w:i w:val="0"/>
          <w:color w:val="000000" w:themeColor="text1"/>
          <w:sz w:val="22"/>
          <w:szCs w:val="22"/>
        </w:rPr>
      </w:pPr>
    </w:p>
    <w:p w:rsidR="00590AB1" w:rsidRDefault="00590AB1" w:rsidP="00590AB1">
      <w:pPr>
        <w:pStyle w:val="Corpodetexto"/>
        <w:spacing w:after="160" w:line="276" w:lineRule="auto"/>
        <w:ind w:firstLine="1701"/>
        <w:rPr>
          <w:rFonts w:ascii="Rubik Light" w:hAnsi="Rubik Light" w:cs="Rubik Light"/>
          <w:color w:val="000000" w:themeColor="text1"/>
          <w:sz w:val="22"/>
          <w:szCs w:val="22"/>
        </w:rPr>
      </w:pPr>
      <w:r>
        <w:rPr>
          <w:rFonts w:ascii="Rubik Light" w:hAnsi="Rubik Light" w:cs="Rubik Light"/>
          <w:color w:val="000000" w:themeColor="text1"/>
          <w:sz w:val="22"/>
          <w:szCs w:val="22"/>
        </w:rPr>
        <w:t xml:space="preserve">Conforme é do conhecimento dos nobres edis, há muito tempo busca-se uma solução para a regularização dos imóveis do Distrito Marechal Rondon. Após estudos, várias reuniões, e conversações com o titular do Cartório de Registros de Imóveis, concluiu-se pela necessidade de uma lei que definisse as condições, mas principalmente pela necessidade de o Município outorgar Escritura de Compra e Venda para os possuidores. </w:t>
      </w:r>
    </w:p>
    <w:p w:rsidR="00590AB1" w:rsidRDefault="00590AB1" w:rsidP="00590AB1">
      <w:pPr>
        <w:pStyle w:val="Corpodetexto"/>
        <w:spacing w:after="160" w:line="276" w:lineRule="auto"/>
        <w:ind w:firstLine="1701"/>
        <w:rPr>
          <w:rFonts w:ascii="Rubik Light" w:hAnsi="Rubik Light" w:cs="Rubik Light"/>
          <w:color w:val="000000" w:themeColor="text1"/>
          <w:sz w:val="22"/>
          <w:szCs w:val="22"/>
        </w:rPr>
      </w:pPr>
      <w:r>
        <w:rPr>
          <w:rFonts w:ascii="Rubik Light" w:hAnsi="Rubik Light" w:cs="Rubik Light"/>
          <w:color w:val="000000" w:themeColor="text1"/>
          <w:sz w:val="22"/>
          <w:szCs w:val="22"/>
        </w:rPr>
        <w:t>Como os possuidores, na verdade são os legítimos proprietários, seria injusto que tivessem que pagar novamente pelo imóvel. Assim, a solução encontrada foi efetivar a venda dos imóveis por um preço simbólico, ou seja, o equivalente a 2% do valor venal do imóvel, o que equivale aproximadamente ao valor do ITBI. Como compensação pelo pagamento, o Município isenta o ITBI para o possuidor adquirente, na primeira escrituração do imóvel.</w:t>
      </w:r>
    </w:p>
    <w:p w:rsidR="00590AB1" w:rsidRDefault="00590AB1" w:rsidP="00590AB1">
      <w:pPr>
        <w:pStyle w:val="Corpodetexto"/>
        <w:spacing w:after="160" w:line="276" w:lineRule="auto"/>
        <w:ind w:firstLine="1701"/>
        <w:rPr>
          <w:rFonts w:ascii="Rubik Light" w:hAnsi="Rubik Light" w:cs="Rubik Light"/>
          <w:color w:val="000000" w:themeColor="text1"/>
          <w:sz w:val="22"/>
          <w:szCs w:val="22"/>
        </w:rPr>
      </w:pPr>
      <w:r>
        <w:rPr>
          <w:rFonts w:ascii="Rubik Light" w:hAnsi="Rubik Light" w:cs="Rubik Light"/>
          <w:color w:val="000000" w:themeColor="text1"/>
          <w:sz w:val="22"/>
          <w:szCs w:val="22"/>
        </w:rPr>
        <w:t>Assim, senhores vereadores, os possuidores tornar-se-ão proprietários, obtendo finalmente a escritura de propriedade de seu imóvel, sendo que o Município, por sua vez também sairá ganhando já que passará a arrecadar o IPTU.</w:t>
      </w:r>
    </w:p>
    <w:p w:rsidR="00590AB1" w:rsidRDefault="00590AB1" w:rsidP="00590AB1">
      <w:pPr>
        <w:pStyle w:val="Corpodetexto"/>
        <w:spacing w:after="160" w:line="276" w:lineRule="auto"/>
        <w:ind w:firstLine="1701"/>
        <w:rPr>
          <w:rFonts w:ascii="Rubik Light" w:hAnsi="Rubik Light" w:cs="Rubik Light"/>
          <w:color w:val="000000" w:themeColor="text1"/>
          <w:sz w:val="22"/>
          <w:szCs w:val="22"/>
        </w:rPr>
      </w:pPr>
      <w:r>
        <w:rPr>
          <w:rFonts w:ascii="Rubik Light" w:hAnsi="Rubik Light" w:cs="Rubik Light"/>
          <w:color w:val="000000" w:themeColor="text1"/>
          <w:sz w:val="22"/>
          <w:szCs w:val="22"/>
        </w:rPr>
        <w:t>Pela razão do que se explanou, encaminha-se presente Projeto de Lei a fim de estipular critérios para regularizar o domínio da propriedade em favor dos ocupantes dos lotes localizado no Distrito Marechal Rondon - Fase II.</w:t>
      </w:r>
    </w:p>
    <w:p w:rsidR="00590AB1" w:rsidRDefault="00590AB1" w:rsidP="00590AB1">
      <w:pPr>
        <w:pStyle w:val="Corpodetexto"/>
        <w:spacing w:after="160" w:line="276" w:lineRule="auto"/>
        <w:rPr>
          <w:rFonts w:ascii="Rubik Light" w:hAnsi="Rubik Light" w:cs="Rubik Light"/>
          <w:color w:val="000000" w:themeColor="text1"/>
          <w:sz w:val="22"/>
          <w:szCs w:val="22"/>
        </w:rPr>
      </w:pPr>
    </w:p>
    <w:p w:rsidR="00590AB1" w:rsidRDefault="00590AB1" w:rsidP="00590AB1">
      <w:pPr>
        <w:pStyle w:val="Corpodetexto"/>
        <w:spacing w:after="160" w:line="276" w:lineRule="auto"/>
        <w:ind w:left="1701"/>
        <w:rPr>
          <w:rFonts w:ascii="Rubik Light" w:hAnsi="Rubik Light" w:cs="Rubik Light"/>
          <w:color w:val="000000" w:themeColor="text1"/>
          <w:sz w:val="22"/>
          <w:szCs w:val="22"/>
        </w:rPr>
      </w:pPr>
      <w:r>
        <w:rPr>
          <w:rFonts w:ascii="Rubik Light" w:hAnsi="Rubik Light" w:cs="Rubik Light"/>
          <w:color w:val="000000" w:themeColor="text1"/>
          <w:sz w:val="22"/>
          <w:szCs w:val="22"/>
        </w:rPr>
        <w:t>Respeitosamente.</w:t>
      </w:r>
    </w:p>
    <w:p w:rsidR="00590AB1" w:rsidRDefault="00590AB1" w:rsidP="00590AB1">
      <w:pPr>
        <w:pStyle w:val="Corpodetexto"/>
        <w:spacing w:after="160" w:line="276" w:lineRule="auto"/>
        <w:ind w:firstLine="1701"/>
        <w:rPr>
          <w:rFonts w:ascii="Rubik Light" w:hAnsi="Rubik Light" w:cs="Rubik Light"/>
          <w:color w:val="000000" w:themeColor="text1"/>
          <w:sz w:val="22"/>
          <w:szCs w:val="22"/>
        </w:rPr>
      </w:pPr>
    </w:p>
    <w:p w:rsidR="00590AB1" w:rsidRDefault="00590AB1" w:rsidP="00590AB1">
      <w:pPr>
        <w:spacing w:line="276" w:lineRule="auto"/>
        <w:jc w:val="center"/>
        <w:rPr>
          <w:rFonts w:ascii="Rubik Light" w:hAnsi="Rubik Light" w:cs="Rubik Light"/>
          <w:b/>
          <w:bCs/>
          <w:iCs/>
          <w:color w:val="000000" w:themeColor="text1"/>
        </w:rPr>
      </w:pPr>
      <w:r>
        <w:rPr>
          <w:rFonts w:ascii="Rubik Light" w:hAnsi="Rubik Light" w:cs="Rubik Light"/>
          <w:b/>
          <w:bCs/>
          <w:iCs/>
          <w:color w:val="000000" w:themeColor="text1"/>
        </w:rPr>
        <w:t>RAFAEL MACHADO</w:t>
      </w:r>
    </w:p>
    <w:p w:rsidR="00590AB1" w:rsidRDefault="00590AB1" w:rsidP="00590AB1">
      <w:pPr>
        <w:spacing w:line="276" w:lineRule="auto"/>
        <w:jc w:val="center"/>
        <w:rPr>
          <w:rFonts w:ascii="Rubik Light" w:hAnsi="Rubik Light" w:cs="Rubik Light"/>
          <w:b/>
          <w:bCs/>
          <w:iCs/>
          <w:color w:val="000000" w:themeColor="text1"/>
        </w:rPr>
      </w:pPr>
      <w:r>
        <w:rPr>
          <w:rFonts w:ascii="Rubik Light" w:hAnsi="Rubik Light" w:cs="Rubik Light"/>
          <w:b/>
          <w:bCs/>
          <w:iCs/>
          <w:color w:val="000000" w:themeColor="text1"/>
        </w:rPr>
        <w:t>Prefeito Municipal</w:t>
      </w:r>
    </w:p>
    <w:p w:rsidR="00590AB1" w:rsidRDefault="00590AB1" w:rsidP="00590AB1">
      <w:pPr>
        <w:rPr>
          <w:rFonts w:ascii="Rubik Light" w:hAnsi="Rubik Light" w:cs="Rubik Light"/>
          <w:b/>
          <w:color w:val="000000" w:themeColor="text1"/>
        </w:rPr>
      </w:pPr>
      <w:r>
        <w:rPr>
          <w:rFonts w:ascii="Rubik Light" w:hAnsi="Rubik Light" w:cs="Rubik Light"/>
          <w:b/>
          <w:bCs/>
          <w:iCs/>
          <w:color w:val="000000" w:themeColor="text1"/>
        </w:rPr>
        <w:br w:type="page"/>
      </w:r>
      <w:r>
        <w:rPr>
          <w:rFonts w:ascii="Rubik Light" w:hAnsi="Rubik Light" w:cs="Rubik Light"/>
          <w:b/>
          <w:color w:val="000000" w:themeColor="text1"/>
        </w:rPr>
        <w:lastRenderedPageBreak/>
        <w:t>PROJETO DE LEI Nº 62/2018</w:t>
      </w:r>
      <w:r>
        <w:rPr>
          <w:rFonts w:ascii="Rubik Light" w:hAnsi="Rubik Light" w:cs="Rubik Light"/>
          <w:b/>
          <w:color w:val="000000" w:themeColor="text1"/>
        </w:rPr>
        <w:tab/>
      </w:r>
      <w:r>
        <w:rPr>
          <w:rFonts w:ascii="Rubik Light" w:hAnsi="Rubik Light" w:cs="Rubik Light"/>
          <w:b/>
          <w:color w:val="000000" w:themeColor="text1"/>
        </w:rPr>
        <w:tab/>
        <w:t xml:space="preserve"> </w:t>
      </w:r>
    </w:p>
    <w:p w:rsidR="00590AB1" w:rsidRDefault="00590AB1" w:rsidP="00590AB1">
      <w:pPr>
        <w:jc w:val="right"/>
        <w:rPr>
          <w:rFonts w:ascii="Rubik Light" w:hAnsi="Rubik Light" w:cs="Rubik Light"/>
          <w:b/>
          <w:i/>
          <w:color w:val="000000" w:themeColor="text1"/>
        </w:rPr>
      </w:pPr>
    </w:p>
    <w:p w:rsidR="00590AB1" w:rsidRDefault="00590AB1" w:rsidP="00590AB1">
      <w:pPr>
        <w:jc w:val="right"/>
        <w:rPr>
          <w:rFonts w:ascii="Rubik Light" w:hAnsi="Rubik Light" w:cs="Rubik Light"/>
          <w:b/>
          <w:i/>
          <w:color w:val="000000" w:themeColor="text1"/>
        </w:rPr>
      </w:pPr>
      <w:r>
        <w:rPr>
          <w:rFonts w:ascii="Rubik Light" w:hAnsi="Rubik Light" w:cs="Rubik Light"/>
          <w:b/>
          <w:i/>
          <w:color w:val="000000" w:themeColor="text1"/>
        </w:rPr>
        <w:t>Autoria: Poder Executivo Municipal</w:t>
      </w:r>
    </w:p>
    <w:p w:rsidR="00590AB1" w:rsidRDefault="00590AB1" w:rsidP="00590AB1">
      <w:pPr>
        <w:jc w:val="right"/>
        <w:rPr>
          <w:rFonts w:ascii="Rubik Light" w:hAnsi="Rubik Light" w:cs="Rubik Light"/>
          <w:b/>
          <w:i/>
          <w:color w:val="000000" w:themeColor="text1"/>
        </w:rPr>
      </w:pPr>
    </w:p>
    <w:p w:rsidR="00590AB1" w:rsidRDefault="00590AB1" w:rsidP="00590AB1">
      <w:pPr>
        <w:ind w:left="3969"/>
        <w:jc w:val="both"/>
        <w:rPr>
          <w:rFonts w:ascii="Rubik Light" w:hAnsi="Rubik Light" w:cs="Rubik Light"/>
          <w:b/>
          <w:bCs/>
          <w:iCs/>
          <w:color w:val="000000" w:themeColor="text1"/>
        </w:rPr>
      </w:pPr>
      <w:r>
        <w:rPr>
          <w:rFonts w:ascii="Rubik Light" w:hAnsi="Rubik Light" w:cs="Rubik Light"/>
          <w:b/>
          <w:bCs/>
          <w:iCs/>
          <w:color w:val="000000" w:themeColor="text1"/>
        </w:rPr>
        <w:t>DISPÕE SOBRE A REGULARIZAÇÃO DOS LOTES DO LOTEAMENTO MARECHAL RONDON - FASE 2, NO DISTRITO MARECHAL RONDON, E DÁ OUTRAS PROVIDÊNCIAS.</w:t>
      </w:r>
    </w:p>
    <w:p w:rsidR="00590AB1" w:rsidRDefault="00590AB1" w:rsidP="00590AB1">
      <w:pPr>
        <w:ind w:right="-51"/>
        <w:jc w:val="both"/>
        <w:rPr>
          <w:rFonts w:ascii="Rubik Light" w:hAnsi="Rubik Light" w:cs="Rubik Light"/>
          <w:color w:val="000000" w:themeColor="text1"/>
        </w:rPr>
      </w:pPr>
    </w:p>
    <w:p w:rsidR="00590AB1" w:rsidRDefault="00590AB1" w:rsidP="00590AB1">
      <w:pPr>
        <w:ind w:right="-51"/>
        <w:jc w:val="both"/>
        <w:rPr>
          <w:rFonts w:ascii="Rubik Light" w:hAnsi="Rubik Light" w:cs="Rubik Light"/>
          <w:color w:val="000000" w:themeColor="text1"/>
        </w:rPr>
      </w:pPr>
      <w:r>
        <w:rPr>
          <w:rFonts w:ascii="Rubik Light" w:hAnsi="Rubik Light" w:cs="Rubik Light"/>
          <w:color w:val="000000" w:themeColor="text1"/>
        </w:rPr>
        <w:t xml:space="preserve">O </w:t>
      </w:r>
      <w:r>
        <w:rPr>
          <w:rFonts w:ascii="Rubik Light" w:hAnsi="Rubik Light" w:cs="Rubik Light"/>
          <w:b/>
          <w:color w:val="000000" w:themeColor="text1"/>
        </w:rPr>
        <w:t xml:space="preserve">PREFEITO MUNICIPAL </w:t>
      </w:r>
      <w:r>
        <w:rPr>
          <w:rFonts w:ascii="Rubik Light" w:hAnsi="Rubik Light" w:cs="Rubik Light"/>
          <w:color w:val="000000" w:themeColor="text1"/>
        </w:rPr>
        <w:t>de Campo Novo do Parecis, Estado de Mato Grosso, faz saber que a Câmara Municipal aprovou e eu sanciono a seguinte Lei:</w:t>
      </w:r>
    </w:p>
    <w:p w:rsidR="00590AB1" w:rsidRDefault="00590AB1" w:rsidP="00590AB1">
      <w:pPr>
        <w:ind w:right="-51"/>
        <w:jc w:val="both"/>
        <w:rPr>
          <w:rFonts w:ascii="Rubik Light" w:hAnsi="Rubik Light" w:cs="Rubik Light"/>
          <w:b/>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1º</w:t>
      </w:r>
      <w:r>
        <w:rPr>
          <w:rFonts w:ascii="Rubik Light" w:hAnsi="Rubik Light" w:cs="Rubik Light"/>
          <w:color w:val="000000" w:themeColor="text1"/>
        </w:rPr>
        <w:t xml:space="preserve"> Fica o Chefe do Poder Executivo do Município de Campo Novo do Parecis, autorizado a regularizar e conceder ordem de escritura, as ocupações dos terrenos situados no Loteamento Marechal Rondon - Fase 2, com área de 26,1001 ha, de propriedade deste Município, conforme Matrícula nº 14.076, do Cartório de Registro de Imóveis de Campo Novo do Parecis.</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2º</w:t>
      </w:r>
      <w:r>
        <w:rPr>
          <w:rFonts w:ascii="Rubik Light" w:hAnsi="Rubik Light" w:cs="Rubik Light"/>
          <w:color w:val="000000" w:themeColor="text1"/>
        </w:rPr>
        <w:t xml:space="preserve"> Para os efeitos desta Lei entende-se por:</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 -</w:t>
      </w:r>
      <w:r>
        <w:rPr>
          <w:rFonts w:ascii="Rubik Light" w:hAnsi="Rubik Light" w:cs="Rubik Light"/>
          <w:color w:val="000000" w:themeColor="text1"/>
        </w:rPr>
        <w:t xml:space="preserve"> ocupação direta: aquela exercida pelo ocupante e sua família;</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II -</w:t>
      </w:r>
      <w:r>
        <w:rPr>
          <w:rFonts w:ascii="Rubik Light" w:hAnsi="Rubik Light" w:cs="Rubik Light"/>
          <w:color w:val="000000" w:themeColor="text1"/>
        </w:rPr>
        <w:t xml:space="preserve"> ocupação indireta: aquela exercida somente por interposta pessoa.</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3º</w:t>
      </w:r>
      <w:r>
        <w:rPr>
          <w:rFonts w:ascii="Rubik Light" w:hAnsi="Rubik Light" w:cs="Rubik Light"/>
          <w:color w:val="000000" w:themeColor="text1"/>
        </w:rPr>
        <w:t xml:space="preserve"> São passíveis de regularização nos termos desta Lei somente as ocupações localizadas na Fase 2 do Loteamento Marechal Rondon.</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4º</w:t>
      </w:r>
      <w:r>
        <w:rPr>
          <w:rFonts w:ascii="Rubik Light" w:hAnsi="Rubik Light" w:cs="Rubik Light"/>
          <w:color w:val="000000" w:themeColor="text1"/>
        </w:rPr>
        <w:t xml:space="preserve"> Não serão passíveis de regularização, nos termos desta Lei, as ocupações que recaiam sobre áreas:</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 -</w:t>
      </w:r>
      <w:r>
        <w:rPr>
          <w:rFonts w:ascii="Rubik Light" w:hAnsi="Rubik Light" w:cs="Rubik Light"/>
          <w:color w:val="000000" w:themeColor="text1"/>
        </w:rPr>
        <w:t xml:space="preserve"> reservadas às áreas públicas;</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II -</w:t>
      </w:r>
      <w:r>
        <w:rPr>
          <w:rFonts w:ascii="Rubik Light" w:hAnsi="Rubik Light" w:cs="Rubik Light"/>
          <w:color w:val="000000" w:themeColor="text1"/>
        </w:rPr>
        <w:t xml:space="preserve"> reservadas às áreas verdes;</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III -</w:t>
      </w:r>
      <w:r>
        <w:rPr>
          <w:rFonts w:ascii="Rubik Light" w:hAnsi="Rubik Light" w:cs="Rubik Light"/>
          <w:color w:val="000000" w:themeColor="text1"/>
        </w:rPr>
        <w:t xml:space="preserve"> que contenham acessões ou benfeitorias Municipais, Estaduais ou Federais;</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IV -</w:t>
      </w:r>
      <w:r>
        <w:rPr>
          <w:rFonts w:ascii="Rubik Light" w:hAnsi="Rubik Light" w:cs="Rubik Light"/>
          <w:color w:val="000000" w:themeColor="text1"/>
        </w:rPr>
        <w:t xml:space="preserve"> áreas comunitárias.</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5º</w:t>
      </w:r>
      <w:r>
        <w:rPr>
          <w:rFonts w:ascii="Rubik Light" w:hAnsi="Rubik Light" w:cs="Rubik Light"/>
          <w:color w:val="000000" w:themeColor="text1"/>
        </w:rPr>
        <w:t xml:space="preserve"> A regularização dos terrenos do Loteamento Marechal Rondon – Fase2 inicia-se com o requerimento expresso do interessado/adquirente, mediante a condição de possuir como seu o lote de forma contínua, mansa e pacífica no prazo mínimo de cinco (05) anos, contados a sucessão da posse.</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 1º</w:t>
      </w:r>
      <w:r>
        <w:rPr>
          <w:rFonts w:ascii="Rubik Light" w:hAnsi="Rubik Light" w:cs="Rubik Light"/>
          <w:color w:val="000000" w:themeColor="text1"/>
        </w:rPr>
        <w:t xml:space="preserve"> A concessão da presente lei dispensa licitação por tratar-se de matéria de relevante interesse social e de situação fática consolidada.</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 2º</w:t>
      </w:r>
      <w:r>
        <w:rPr>
          <w:rFonts w:ascii="Rubik Light" w:hAnsi="Rubik Light" w:cs="Rubik Light"/>
          <w:color w:val="000000" w:themeColor="text1"/>
        </w:rPr>
        <w:t xml:space="preserve"> Os terrenos que possuírem edificações, para serem contemplados com a regularização de que se trata esta Lei, deverão observar o Código de Obras do Município de Campo Novo do Parecis.</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6º</w:t>
      </w:r>
      <w:r>
        <w:rPr>
          <w:rFonts w:ascii="Rubik Light" w:hAnsi="Rubik Light" w:cs="Rubik Light"/>
          <w:color w:val="000000" w:themeColor="text1"/>
        </w:rPr>
        <w:t xml:space="preserve"> Para fins de regularização prevista nesta Lei serão exigidos, juntamente com o requerimento, os seguintes documentos:</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 -</w:t>
      </w:r>
      <w:r>
        <w:rPr>
          <w:rFonts w:ascii="Rubik Light" w:hAnsi="Rubik Light" w:cs="Rubik Light"/>
          <w:color w:val="000000" w:themeColor="text1"/>
        </w:rPr>
        <w:t xml:space="preserve"> fotocópia da Carteira de Identidade (CI) ou da Carteira de Trabalho e Previdência Social (CTPS) do requerente e cônjuge, se houver;</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II -</w:t>
      </w:r>
      <w:r>
        <w:rPr>
          <w:rFonts w:ascii="Rubik Light" w:hAnsi="Rubik Light" w:cs="Rubik Light"/>
          <w:color w:val="000000" w:themeColor="text1"/>
        </w:rPr>
        <w:t xml:space="preserve"> fotocópia do Cadastro de Pessoa Física (CPF) do requerente e cônjuge se houver;</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III -</w:t>
      </w:r>
      <w:r>
        <w:rPr>
          <w:rFonts w:ascii="Rubik Light" w:hAnsi="Rubik Light" w:cs="Rubik Light"/>
          <w:color w:val="000000" w:themeColor="text1"/>
        </w:rPr>
        <w:t xml:space="preserve"> fotocópia da Certidão de Casamento ou Declaração de União Estável ou homoafetiva, quando for o caso;</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IV -</w:t>
      </w:r>
      <w:r>
        <w:rPr>
          <w:rFonts w:ascii="Rubik Light" w:hAnsi="Rubik Light" w:cs="Rubik Light"/>
          <w:color w:val="000000" w:themeColor="text1"/>
        </w:rPr>
        <w:t xml:space="preserve"> Comprovante de residência do requerente;</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V -</w:t>
      </w:r>
      <w:r>
        <w:rPr>
          <w:rFonts w:ascii="Rubik Light" w:hAnsi="Rubik Light" w:cs="Rubik Light"/>
          <w:color w:val="000000" w:themeColor="text1"/>
        </w:rPr>
        <w:t xml:space="preserve"> comprovação das condições previstas no art. 5º desta Lei;</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VI -</w:t>
      </w:r>
      <w:r>
        <w:rPr>
          <w:rFonts w:ascii="Rubik Light" w:hAnsi="Rubik Light" w:cs="Rubik Light"/>
          <w:color w:val="000000" w:themeColor="text1"/>
        </w:rPr>
        <w:t xml:space="preserve"> comprovante de aquisição do imóvel.</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Parágrafo único.</w:t>
      </w:r>
      <w:r>
        <w:rPr>
          <w:rFonts w:ascii="Rubik Light" w:hAnsi="Rubik Light" w:cs="Rubik Light"/>
          <w:color w:val="000000" w:themeColor="text1"/>
        </w:rPr>
        <w:t xml:space="preserve"> Todos os documentos deverão ser autenticados.</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7º</w:t>
      </w:r>
      <w:r>
        <w:rPr>
          <w:rFonts w:ascii="Rubik Light" w:hAnsi="Rubik Light" w:cs="Rubik Light"/>
          <w:color w:val="000000" w:themeColor="text1"/>
        </w:rPr>
        <w:t xml:space="preserve"> O processo de regularização será analisado por uma comissão constituída para este fim, designada por Decreto Executivo, devendo avaliar os requerimentos, juntamente com as documentações exigidas, efetuar trabalho de campo para comprovação dos limites e confrontações requeridos com o do loteamento existente, bem como emitir parecer favorável ou não à emissão da ordem de escritura.</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8º</w:t>
      </w:r>
      <w:r>
        <w:rPr>
          <w:rFonts w:ascii="Rubik Light" w:hAnsi="Rubik Light" w:cs="Rubik Light"/>
          <w:color w:val="000000" w:themeColor="text1"/>
        </w:rPr>
        <w:t xml:space="preserve"> A Regularização dos terrenos do Loteamento Marechal Rondon - Fase 2 será feita por ordem de escritura, emitida pelo Chefe do Poder Executivo Municipal, por meio da Secretaria Municipal de Finanças, Departamento de Cadastro e Arrecadação.</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 1º</w:t>
      </w:r>
      <w:r>
        <w:rPr>
          <w:rFonts w:ascii="Rubik Light" w:hAnsi="Rubik Light" w:cs="Rubik Light"/>
          <w:color w:val="000000" w:themeColor="text1"/>
        </w:rPr>
        <w:t xml:space="preserve"> O beneficiário da ordem de escritura pública deverá registrá-la no Cartório de Registro de Imóveis e arcará com as custas de tabelião e registro.</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 xml:space="preserve">§ 2º </w:t>
      </w:r>
      <w:r>
        <w:rPr>
          <w:rFonts w:ascii="Rubik Light" w:hAnsi="Rubik Light" w:cs="Rubik Light"/>
          <w:color w:val="000000" w:themeColor="text1"/>
        </w:rPr>
        <w:t>O beneficiário da ordem de escritura pública responderá integralmente pelos custos com a referida transmissão e respectivo registro, bem como pelos encargos e tributos que incidirem sobre a área objeto da regularização, a partir desta.</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9º</w:t>
      </w:r>
      <w:r>
        <w:rPr>
          <w:rFonts w:ascii="Rubik Light" w:hAnsi="Rubik Light" w:cs="Rubik Light"/>
          <w:color w:val="000000" w:themeColor="text1"/>
        </w:rPr>
        <w:t xml:space="preserve"> A Ordem de Escritura Pública será expedida a favor do titular detentor do imóvel, devidamente comprovado pela Comissão de Avaliação.</w:t>
      </w: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Parágrafo único.</w:t>
      </w:r>
      <w:r>
        <w:rPr>
          <w:rFonts w:ascii="Rubik Light" w:hAnsi="Rubik Light" w:cs="Rubik Light"/>
          <w:color w:val="000000" w:themeColor="text1"/>
        </w:rPr>
        <w:t xml:space="preserve"> O beneficiário pagará pelo imóvel o equivalente a 2% (dois por cento) do valor venal do imóvel.</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10</w:t>
      </w:r>
      <w:r>
        <w:rPr>
          <w:rFonts w:ascii="Rubik Light" w:hAnsi="Rubik Light" w:cs="Rubik Light"/>
          <w:color w:val="000000" w:themeColor="text1"/>
        </w:rPr>
        <w:t xml:space="preserve"> A primeira escrituração referente à alienação dos imóveis de que trata esta Lei, ficará isenta do recolhimento do ITBI - Imposto Sobre Transmissão inter vivos de Bens Imóveis.</w:t>
      </w:r>
    </w:p>
    <w:p w:rsidR="00590AB1" w:rsidRDefault="00590AB1" w:rsidP="00590AB1">
      <w:pPr>
        <w:ind w:firstLine="1701"/>
        <w:jc w:val="both"/>
        <w:rPr>
          <w:rFonts w:ascii="Rubik Light" w:hAnsi="Rubik Light" w:cs="Rubik Light"/>
          <w:color w:val="000000" w:themeColor="text1"/>
        </w:rPr>
      </w:pPr>
    </w:p>
    <w:p w:rsidR="00590AB1" w:rsidRDefault="00590AB1" w:rsidP="00590AB1">
      <w:pPr>
        <w:jc w:val="both"/>
        <w:rPr>
          <w:rFonts w:ascii="Rubik Light" w:hAnsi="Rubik Light" w:cs="Rubik Light"/>
          <w:color w:val="000000" w:themeColor="text1"/>
        </w:rPr>
      </w:pPr>
      <w:r>
        <w:rPr>
          <w:rFonts w:ascii="Rubik Light" w:hAnsi="Rubik Light" w:cs="Rubik Light"/>
          <w:b/>
          <w:color w:val="000000" w:themeColor="text1"/>
        </w:rPr>
        <w:t>Art. 11</w:t>
      </w:r>
      <w:r>
        <w:rPr>
          <w:rFonts w:ascii="Rubik Light" w:hAnsi="Rubik Light" w:cs="Rubik Light"/>
          <w:color w:val="000000" w:themeColor="text1"/>
        </w:rPr>
        <w:t xml:space="preserve"> Esta lei entra em vigor na data de sua publicação, revogam-se as disposições em contrário.</w:t>
      </w:r>
    </w:p>
    <w:p w:rsidR="00590AB1" w:rsidRDefault="00590AB1" w:rsidP="00590AB1">
      <w:pPr>
        <w:ind w:firstLine="1701"/>
        <w:jc w:val="both"/>
        <w:rPr>
          <w:rFonts w:ascii="Rubik Light" w:hAnsi="Rubik Light" w:cs="Rubik Light"/>
          <w:b/>
          <w:color w:val="000000" w:themeColor="text1"/>
        </w:rPr>
      </w:pPr>
    </w:p>
    <w:p w:rsidR="00590AB1" w:rsidRDefault="00590AB1" w:rsidP="00590AB1">
      <w:pPr>
        <w:pStyle w:val="Corpodetexto"/>
        <w:rPr>
          <w:rFonts w:ascii="Rubik Light" w:hAnsi="Rubik Light" w:cs="Rubik Light"/>
          <w:color w:val="000000" w:themeColor="text1"/>
          <w:sz w:val="22"/>
          <w:szCs w:val="22"/>
        </w:rPr>
      </w:pPr>
      <w:r>
        <w:rPr>
          <w:rFonts w:ascii="Rubik Light" w:hAnsi="Rubik Light" w:cs="Rubik Light"/>
          <w:color w:val="000000" w:themeColor="text1"/>
          <w:sz w:val="22"/>
          <w:szCs w:val="22"/>
        </w:rPr>
        <w:t>Gabinete do Prefeito Municipal de Campo Novo do Parecis, aos 19 dias do mês de outubro de 2018.</w:t>
      </w:r>
    </w:p>
    <w:p w:rsidR="00590AB1" w:rsidRDefault="00590AB1" w:rsidP="00590AB1">
      <w:pPr>
        <w:rPr>
          <w:rFonts w:ascii="Rubik Light" w:hAnsi="Rubik Light" w:cs="Rubik Light"/>
          <w:b/>
          <w:color w:val="000000" w:themeColor="text1"/>
        </w:rPr>
      </w:pPr>
    </w:p>
    <w:p w:rsidR="00590AB1" w:rsidRDefault="00590AB1" w:rsidP="00590AB1">
      <w:pPr>
        <w:rPr>
          <w:rFonts w:ascii="Rubik Light" w:hAnsi="Rubik Light" w:cs="Rubik Light"/>
          <w:b/>
          <w:color w:val="000000" w:themeColor="text1"/>
        </w:rPr>
      </w:pPr>
    </w:p>
    <w:p w:rsidR="00590AB1" w:rsidRDefault="00590AB1" w:rsidP="00590AB1">
      <w:pPr>
        <w:ind w:right="-51"/>
        <w:jc w:val="both"/>
        <w:rPr>
          <w:rFonts w:ascii="Rubik Light" w:hAnsi="Rubik Light" w:cs="Rubik Light"/>
          <w:b/>
          <w:color w:val="000000" w:themeColor="text1"/>
        </w:rPr>
      </w:pPr>
    </w:p>
    <w:p w:rsidR="00590AB1" w:rsidRDefault="00590AB1" w:rsidP="00590AB1">
      <w:pPr>
        <w:ind w:right="-51"/>
        <w:jc w:val="center"/>
        <w:rPr>
          <w:rFonts w:ascii="Rubik Light" w:hAnsi="Rubik Light" w:cs="Rubik Light"/>
          <w:b/>
          <w:color w:val="000000" w:themeColor="text1"/>
        </w:rPr>
      </w:pPr>
      <w:r>
        <w:rPr>
          <w:rFonts w:ascii="Rubik Light" w:hAnsi="Rubik Light" w:cs="Rubik Light"/>
          <w:b/>
          <w:color w:val="000000" w:themeColor="text1"/>
        </w:rPr>
        <w:t>RAFAEL MACHADO</w:t>
      </w:r>
    </w:p>
    <w:p w:rsidR="00590AB1" w:rsidRDefault="00590AB1" w:rsidP="00590AB1">
      <w:pPr>
        <w:ind w:right="-51"/>
        <w:jc w:val="center"/>
        <w:rPr>
          <w:rFonts w:ascii="Rubik Light" w:hAnsi="Rubik Light" w:cs="Rubik Light"/>
          <w:b/>
          <w:color w:val="000000" w:themeColor="text1"/>
        </w:rPr>
      </w:pPr>
      <w:r>
        <w:rPr>
          <w:rFonts w:ascii="Rubik Light" w:hAnsi="Rubik Light" w:cs="Rubik Light"/>
          <w:b/>
          <w:color w:val="000000" w:themeColor="text1"/>
        </w:rPr>
        <w:t>Prefeito Municipal</w:t>
      </w:r>
    </w:p>
    <w:p w:rsidR="00590AB1" w:rsidRDefault="00590AB1" w:rsidP="00590AB1">
      <w:pPr>
        <w:ind w:right="-51"/>
        <w:jc w:val="both"/>
        <w:rPr>
          <w:rFonts w:ascii="Rubik Light" w:hAnsi="Rubik Light" w:cs="Rubik Light"/>
          <w:color w:val="000000" w:themeColor="text1"/>
        </w:rPr>
      </w:pPr>
      <w:r>
        <w:rPr>
          <w:rFonts w:ascii="Rubik Light" w:hAnsi="Rubik Light" w:cs="Rubik Light"/>
          <w:color w:val="000000" w:themeColor="text1"/>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590AB1" w:rsidRDefault="00590AB1" w:rsidP="00590AB1">
      <w:pPr>
        <w:ind w:right="-51"/>
        <w:jc w:val="center"/>
        <w:rPr>
          <w:rFonts w:ascii="Rubik Light" w:hAnsi="Rubik Light" w:cs="Rubik Light"/>
          <w:b/>
          <w:color w:val="000000" w:themeColor="text1"/>
        </w:rPr>
      </w:pPr>
    </w:p>
    <w:p w:rsidR="00590AB1" w:rsidRDefault="00590AB1" w:rsidP="00590AB1">
      <w:pPr>
        <w:ind w:right="-51"/>
        <w:jc w:val="center"/>
        <w:rPr>
          <w:rFonts w:ascii="Rubik Light" w:hAnsi="Rubik Light" w:cs="Rubik Light"/>
          <w:b/>
          <w:color w:val="000000" w:themeColor="text1"/>
        </w:rPr>
      </w:pPr>
    </w:p>
    <w:p w:rsidR="00590AB1" w:rsidRDefault="00590AB1" w:rsidP="00590AB1">
      <w:pPr>
        <w:ind w:right="-51"/>
        <w:jc w:val="center"/>
        <w:rPr>
          <w:rFonts w:ascii="Rubik Light" w:hAnsi="Rubik Light" w:cs="Rubik Light"/>
          <w:b/>
          <w:color w:val="000000" w:themeColor="text1"/>
        </w:rPr>
      </w:pPr>
      <w:r>
        <w:rPr>
          <w:rFonts w:ascii="Rubik Light" w:hAnsi="Rubik Light" w:cs="Rubik Light"/>
          <w:b/>
          <w:color w:val="000000" w:themeColor="text1"/>
        </w:rPr>
        <w:t>GIRLEI AUGUSTO PEZ BOLZAN</w:t>
      </w:r>
    </w:p>
    <w:p w:rsidR="00590AB1" w:rsidRDefault="00590AB1" w:rsidP="00590AB1">
      <w:pPr>
        <w:ind w:right="-51"/>
        <w:jc w:val="center"/>
        <w:rPr>
          <w:rFonts w:ascii="Rubik Light" w:hAnsi="Rubik Light" w:cs="Rubik Light"/>
          <w:bCs/>
          <w:color w:val="000000" w:themeColor="text1"/>
        </w:rPr>
      </w:pPr>
      <w:r>
        <w:rPr>
          <w:rFonts w:ascii="Rubik Light" w:hAnsi="Rubik Light" w:cs="Rubik Light"/>
          <w:b/>
          <w:color w:val="000000" w:themeColor="text1"/>
        </w:rPr>
        <w:t>Secretário Municipal de Administração</w:t>
      </w:r>
    </w:p>
    <w:p w:rsidR="004D4398" w:rsidRPr="00590AB1" w:rsidRDefault="004D4398" w:rsidP="00590AB1"/>
    <w:sectPr w:rsidR="004D4398" w:rsidRPr="00590AB1" w:rsidSect="00502AF7">
      <w:footerReference w:type="default" r:id="rId6"/>
      <w:pgSz w:w="11907" w:h="16840" w:code="9"/>
      <w:pgMar w:top="1021" w:right="1701" w:bottom="567"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7A59" w:rsidRDefault="00297A59" w:rsidP="00502AF7">
      <w:r>
        <w:separator/>
      </w:r>
    </w:p>
  </w:endnote>
  <w:endnote w:type="continuationSeparator" w:id="1">
    <w:p w:rsidR="00297A59" w:rsidRDefault="00297A59"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Rubik Light">
    <w:altName w:val="Arial"/>
    <w:charset w:val="CC"/>
    <w:family w:val="auto"/>
    <w:pitch w:val="variable"/>
    <w:sig w:usb0="00000000" w:usb1="5000205B" w:usb2="00000000" w:usb3="00000000" w:csb0="000000B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297A59" w:rsidP="004A45C3">
    <w:pPr>
      <w:pStyle w:val="Rodap"/>
    </w:pPr>
  </w:p>
  <w:p w:rsidR="009F196D" w:rsidRPr="003D3AA8" w:rsidRDefault="00297A59"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7A59" w:rsidRDefault="00297A59" w:rsidP="00502AF7">
      <w:r>
        <w:separator/>
      </w:r>
    </w:p>
  </w:footnote>
  <w:footnote w:type="continuationSeparator" w:id="1">
    <w:p w:rsidR="00297A59" w:rsidRDefault="00297A59" w:rsidP="00502A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915A3"/>
    <w:rsid w:val="00217F62"/>
    <w:rsid w:val="00297A59"/>
    <w:rsid w:val="004D4398"/>
    <w:rsid w:val="00502AF7"/>
    <w:rsid w:val="00590AB1"/>
    <w:rsid w:val="00A906D8"/>
    <w:rsid w:val="00AB5A74"/>
    <w:rsid w:val="00D84AFE"/>
    <w:rsid w:val="00F071AE"/>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Corpodetexto">
    <w:name w:val="Body Text"/>
    <w:basedOn w:val="Normal"/>
    <w:link w:val="CorpodetextoChar"/>
    <w:semiHidden/>
    <w:unhideWhenUsed/>
    <w:rsid w:val="00590AB1"/>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590AB1"/>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590AB1"/>
    <w:pPr>
      <w:tabs>
        <w:tab w:val="left" w:pos="1560"/>
      </w:tabs>
      <w:ind w:left="1560" w:hanging="1560"/>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semiHidden/>
    <w:rsid w:val="00590AB1"/>
    <w:rPr>
      <w:rFonts w:ascii="Times New Roman" w:eastAsia="Times New Roman" w:hAnsi="Times New Roman" w:cs="Times New Roman"/>
      <w:b/>
      <w:i/>
      <w:sz w:val="24"/>
      <w:szCs w:val="20"/>
      <w:lang w:eastAsia="pt-BR"/>
    </w:rPr>
  </w:style>
</w:styles>
</file>

<file path=word/webSettings.xml><?xml version="1.0" encoding="utf-8"?>
<w:webSettings xmlns:r="http://schemas.openxmlformats.org/officeDocument/2006/relationships" xmlns:w="http://schemas.openxmlformats.org/wordprocessingml/2006/main">
  <w:divs>
    <w:div w:id="1162156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5200</Characters>
  <Application>Microsoft Office Word</Application>
  <DocSecurity>0</DocSecurity>
  <Lines>43</Lines>
  <Paragraphs>12</Paragraphs>
  <ScaleCrop>false</ScaleCrop>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2018-12-04T11:28:00Z</dcterms:created>
  <dcterms:modified xsi:type="dcterms:W3CDTF">2018-12-04T11:28:00Z</dcterms:modified>
</cp:coreProperties>
</file>