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96D" w:rsidRDefault="00A4396D" w:rsidP="00A4396D">
      <w:pPr>
        <w:keepLines/>
        <w:spacing w:line="276" w:lineRule="auto"/>
        <w:rPr>
          <w:rFonts w:ascii="Rubik Light" w:hAnsi="Rubik Light" w:cs="Rubik Light"/>
          <w:b/>
          <w:color w:val="000000" w:themeColor="text1"/>
        </w:rPr>
      </w:pPr>
    </w:p>
    <w:p w:rsidR="00A4396D" w:rsidRDefault="00A4396D" w:rsidP="00A4396D">
      <w:pPr>
        <w:keepLines/>
        <w:spacing w:line="276" w:lineRule="auto"/>
        <w:rPr>
          <w:rFonts w:ascii="Rubik Light" w:hAnsi="Rubik Light" w:cs="Rubik Light"/>
          <w:b/>
          <w:color w:val="000000" w:themeColor="text1"/>
        </w:rPr>
      </w:pPr>
    </w:p>
    <w:p w:rsidR="00A4396D" w:rsidRDefault="00A4396D" w:rsidP="00A4396D">
      <w:pPr>
        <w:keepLines/>
        <w:spacing w:line="276" w:lineRule="auto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MENSAGEM LEGISLATIVA Nº 002/2019</w:t>
      </w:r>
      <w:r>
        <w:rPr>
          <w:rFonts w:ascii="Rubik Light" w:hAnsi="Rubik Light" w:cs="Rubik Light"/>
          <w:b/>
          <w:color w:val="000000" w:themeColor="text1"/>
        </w:rPr>
        <w:tab/>
        <w:t xml:space="preserve">          </w:t>
      </w:r>
    </w:p>
    <w:p w:rsidR="00A4396D" w:rsidRDefault="00A4396D" w:rsidP="00A4396D">
      <w:pPr>
        <w:keepLines/>
        <w:spacing w:line="276" w:lineRule="auto"/>
        <w:jc w:val="right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30 de janeiro de 2019.</w:t>
      </w:r>
    </w:p>
    <w:p w:rsidR="00A4396D" w:rsidRDefault="00A4396D" w:rsidP="00A4396D">
      <w:pPr>
        <w:spacing w:line="276" w:lineRule="auto"/>
        <w:outlineLvl w:val="0"/>
        <w:rPr>
          <w:rFonts w:ascii="Rubik Light" w:hAnsi="Rubik Light" w:cs="Rubik Light"/>
          <w:b/>
          <w:color w:val="000000" w:themeColor="text1"/>
        </w:rPr>
      </w:pPr>
    </w:p>
    <w:p w:rsidR="00A4396D" w:rsidRDefault="00A4396D" w:rsidP="00A4396D">
      <w:pPr>
        <w:spacing w:after="120"/>
        <w:jc w:val="both"/>
        <w:outlineLvl w:val="0"/>
        <w:rPr>
          <w:rFonts w:ascii="Rubik Light" w:hAnsi="Rubik Light" w:cs="Rubik Light"/>
          <w:bCs/>
          <w:shd w:val="clear" w:color="auto" w:fill="FFFFFF"/>
        </w:rPr>
      </w:pPr>
      <w:r>
        <w:rPr>
          <w:rFonts w:ascii="Rubik Light" w:hAnsi="Rubik Light" w:cs="Rubik Light"/>
        </w:rPr>
        <w:t xml:space="preserve">Excelentíssimo Senhor Vereador </w:t>
      </w:r>
      <w:r>
        <w:rPr>
          <w:rStyle w:val="nfase"/>
          <w:rFonts w:ascii="Rubik Light" w:hAnsi="Rubik Light" w:cs="Rubik Light"/>
          <w:bCs/>
          <w:sz w:val="24"/>
          <w:szCs w:val="24"/>
          <w:shd w:val="clear" w:color="auto" w:fill="FFFFFF"/>
        </w:rPr>
        <w:t>WAGNER TAVARES CUNHA</w:t>
      </w:r>
      <w:r>
        <w:rPr>
          <w:rStyle w:val="nfase"/>
          <w:rFonts w:ascii="Rubik Light" w:hAnsi="Rubik Light" w:cs="Rubik Light"/>
          <w:bCs/>
          <w:shd w:val="clear" w:color="auto" w:fill="FFFFFF"/>
        </w:rPr>
        <w:t xml:space="preserve">, </w:t>
      </w:r>
      <w:r>
        <w:rPr>
          <w:rFonts w:ascii="Rubik Light" w:hAnsi="Rubik Light" w:cs="Rubik Light"/>
        </w:rPr>
        <w:t>Presidente da Câmara Municipal de Campo Novo do Parecis</w:t>
      </w:r>
    </w:p>
    <w:p w:rsidR="00A4396D" w:rsidRDefault="00A4396D" w:rsidP="00A4396D">
      <w:pPr>
        <w:spacing w:after="120" w:line="276" w:lineRule="auto"/>
        <w:outlineLvl w:val="0"/>
        <w:rPr>
          <w:rFonts w:ascii="Rubik Light" w:hAnsi="Rubik Light" w:cs="Rubik Light"/>
          <w:b/>
        </w:rPr>
      </w:pPr>
    </w:p>
    <w:p w:rsidR="00A4396D" w:rsidRDefault="00A4396D" w:rsidP="00A4396D">
      <w:pPr>
        <w:spacing w:after="120" w:line="276" w:lineRule="auto"/>
        <w:outlineLvl w:val="0"/>
        <w:rPr>
          <w:rFonts w:ascii="Rubik Light" w:hAnsi="Rubik Light" w:cs="Rubik Light"/>
        </w:rPr>
      </w:pPr>
      <w:r>
        <w:rPr>
          <w:rFonts w:ascii="Rubik Light" w:hAnsi="Rubik Light" w:cs="Rubik Light"/>
          <w:b/>
        </w:rPr>
        <w:t>Senhores(as) Vereadores(as) da Câmara Municipal de Campo Novo do Parecis</w:t>
      </w:r>
    </w:p>
    <w:p w:rsidR="00A4396D" w:rsidRDefault="00A4396D" w:rsidP="00A4396D">
      <w:pPr>
        <w:jc w:val="center"/>
        <w:outlineLvl w:val="0"/>
        <w:rPr>
          <w:rFonts w:ascii="Rubik Light" w:hAnsi="Rubik Light" w:cs="Rubik Light"/>
          <w:color w:val="000000" w:themeColor="text1"/>
        </w:rPr>
      </w:pPr>
    </w:p>
    <w:p w:rsidR="00A4396D" w:rsidRDefault="00A4396D" w:rsidP="00A4396D">
      <w:pPr>
        <w:pStyle w:val="Recuodecorpodetexto"/>
        <w:tabs>
          <w:tab w:val="left" w:pos="0"/>
        </w:tabs>
        <w:spacing w:after="160" w:line="360" w:lineRule="auto"/>
        <w:ind w:left="0"/>
        <w:jc w:val="both"/>
        <w:rPr>
          <w:rFonts w:ascii="Rubik Light" w:hAnsi="Rubik Light" w:cs="Rubik Light"/>
          <w:b/>
          <w:i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ab/>
      </w:r>
      <w:r>
        <w:rPr>
          <w:rFonts w:ascii="Rubik Light" w:hAnsi="Rubik Light" w:cs="Rubik Light"/>
          <w:color w:val="000000" w:themeColor="text1"/>
        </w:rPr>
        <w:tab/>
        <w:t>Encaminho Projeto de Lei que autoriza o Poder Executivo Municipal a abrir crédito adicional especial no valor de R$ 52.492,81 (cinquenta e dois mil, quatrocentos e noventa e dois reais   e oitenta e um centavos) e dá outras providências.</w:t>
      </w:r>
    </w:p>
    <w:p w:rsidR="00A4396D" w:rsidRDefault="00A4396D" w:rsidP="00A4396D">
      <w:pPr>
        <w:pStyle w:val="Recuodecorpodetexto"/>
        <w:tabs>
          <w:tab w:val="left" w:pos="142"/>
        </w:tabs>
        <w:spacing w:before="240" w:after="160" w:line="360" w:lineRule="auto"/>
        <w:ind w:left="0"/>
        <w:jc w:val="both"/>
        <w:rPr>
          <w:rFonts w:ascii="Rubik Light" w:hAnsi="Rubik Light" w:cs="Rubik Light"/>
          <w:b/>
          <w:i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ab/>
      </w:r>
      <w:r>
        <w:rPr>
          <w:rFonts w:ascii="Rubik Light" w:hAnsi="Rubik Light" w:cs="Rubik Light"/>
          <w:color w:val="000000" w:themeColor="text1"/>
        </w:rPr>
        <w:tab/>
      </w:r>
      <w:r>
        <w:rPr>
          <w:rFonts w:ascii="Rubik Light" w:hAnsi="Rubik Light" w:cs="Rubik Light"/>
          <w:color w:val="000000" w:themeColor="text1"/>
        </w:rPr>
        <w:tab/>
        <w:t xml:space="preserve"> A presente matéria tem por finalidade a abertura de crédito especial para incluir a modalidade de aplicação 3.3.71.00.00.00, a fim de efetuar repasse ao Consórcio Intermunicipal de Desenvolvimento Econômico, Social, Ambiental e Turístico do Alto do Rio Paraguai (CONSAD ALTO PARAGUAI).</w:t>
      </w:r>
    </w:p>
    <w:p w:rsidR="00A4396D" w:rsidRDefault="00A4396D" w:rsidP="00A4396D">
      <w:pPr>
        <w:pStyle w:val="Corpodetexto"/>
        <w:spacing w:after="160" w:line="360" w:lineRule="auto"/>
        <w:ind w:firstLine="1560"/>
        <w:jc w:val="both"/>
        <w:rPr>
          <w:rFonts w:ascii="Rubik Light" w:hAnsi="Rubik Light" w:cs="Rubik Light"/>
          <w:color w:val="000000" w:themeColor="text1"/>
          <w:sz w:val="22"/>
          <w:szCs w:val="22"/>
        </w:rPr>
      </w:pPr>
      <w:r>
        <w:rPr>
          <w:rFonts w:ascii="Rubik Light" w:hAnsi="Rubik Light" w:cs="Rubik Light"/>
          <w:color w:val="000000" w:themeColor="text1"/>
          <w:sz w:val="22"/>
          <w:szCs w:val="22"/>
        </w:rPr>
        <w:t xml:space="preserve">Pela razão do que se explanou, encaminhamos, com pedido de tramitação em </w:t>
      </w:r>
      <w:r>
        <w:rPr>
          <w:rFonts w:ascii="Rubik Light" w:hAnsi="Rubik Light" w:cs="Rubik Light"/>
          <w:b/>
          <w:color w:val="000000" w:themeColor="text1"/>
          <w:sz w:val="22"/>
          <w:szCs w:val="22"/>
        </w:rPr>
        <w:t>regime de urgência simples</w:t>
      </w:r>
      <w:r>
        <w:rPr>
          <w:rFonts w:ascii="Rubik Light" w:hAnsi="Rubik Light" w:cs="Rubik Light"/>
          <w:color w:val="000000" w:themeColor="text1"/>
          <w:sz w:val="22"/>
          <w:szCs w:val="22"/>
        </w:rPr>
        <w:t>, o presente Projeto de Lei para análise.</w:t>
      </w:r>
    </w:p>
    <w:p w:rsidR="00A4396D" w:rsidRDefault="00A4396D" w:rsidP="00A4396D">
      <w:pPr>
        <w:pStyle w:val="Corpodetexto"/>
        <w:spacing w:after="160" w:line="360" w:lineRule="auto"/>
        <w:ind w:firstLine="1560"/>
        <w:rPr>
          <w:rFonts w:ascii="Rubik Light" w:hAnsi="Rubik Light" w:cs="Rubik Light"/>
          <w:color w:val="000000" w:themeColor="text1"/>
          <w:sz w:val="22"/>
          <w:szCs w:val="22"/>
        </w:rPr>
      </w:pPr>
      <w:r>
        <w:rPr>
          <w:rFonts w:ascii="Rubik Light" w:hAnsi="Rubik Light" w:cs="Rubik Light"/>
          <w:color w:val="000000" w:themeColor="text1"/>
          <w:sz w:val="22"/>
          <w:szCs w:val="22"/>
        </w:rPr>
        <w:t xml:space="preserve"> Respeitosamente,</w:t>
      </w:r>
    </w:p>
    <w:p w:rsidR="00A4396D" w:rsidRDefault="00A4396D" w:rsidP="00A4396D">
      <w:pPr>
        <w:pStyle w:val="Corpodetexto"/>
        <w:spacing w:after="160" w:line="360" w:lineRule="auto"/>
        <w:ind w:left="720" w:firstLine="720"/>
        <w:rPr>
          <w:rFonts w:ascii="Rubik Light" w:hAnsi="Rubik Light" w:cs="Rubik Light"/>
          <w:color w:val="000000" w:themeColor="text1"/>
          <w:sz w:val="22"/>
          <w:szCs w:val="22"/>
        </w:rPr>
      </w:pPr>
    </w:p>
    <w:p w:rsidR="00A4396D" w:rsidRDefault="00A4396D" w:rsidP="00A4396D">
      <w:pPr>
        <w:spacing w:line="276" w:lineRule="auto"/>
        <w:jc w:val="center"/>
        <w:rPr>
          <w:rFonts w:ascii="Rubik Light" w:hAnsi="Rubik Light" w:cs="Rubik Light"/>
          <w:b/>
          <w:bCs/>
          <w:iCs/>
          <w:color w:val="000000" w:themeColor="text1"/>
        </w:rPr>
      </w:pPr>
      <w:r>
        <w:rPr>
          <w:rFonts w:ascii="Rubik Light" w:hAnsi="Rubik Light" w:cs="Rubik Light"/>
          <w:b/>
          <w:bCs/>
          <w:iCs/>
          <w:color w:val="000000" w:themeColor="text1"/>
        </w:rPr>
        <w:t>RAFAEL MACHADO</w:t>
      </w:r>
    </w:p>
    <w:p w:rsidR="00A4396D" w:rsidRDefault="00A4396D" w:rsidP="00A4396D">
      <w:pPr>
        <w:spacing w:line="276" w:lineRule="auto"/>
        <w:jc w:val="center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bCs/>
          <w:iCs/>
          <w:color w:val="000000" w:themeColor="text1"/>
        </w:rPr>
        <w:t>Prefeito Municipal</w:t>
      </w:r>
    </w:p>
    <w:p w:rsidR="00A4396D" w:rsidRDefault="00A4396D" w:rsidP="00A4396D">
      <w:pPr>
        <w:pStyle w:val="Corpodetexto"/>
        <w:spacing w:before="10"/>
        <w:rPr>
          <w:rFonts w:ascii="Rubik Light" w:hAnsi="Rubik Light" w:cs="Rubik Light"/>
        </w:rPr>
      </w:pPr>
    </w:p>
    <w:p w:rsidR="00A4396D" w:rsidRDefault="00A4396D" w:rsidP="00A4396D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br w:type="page"/>
      </w:r>
    </w:p>
    <w:p w:rsidR="00A4396D" w:rsidRDefault="00A4396D" w:rsidP="00A4396D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A4396D" w:rsidRDefault="00A4396D" w:rsidP="00A4396D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PROJETO DE LEI Nº 002/2019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ab/>
        <w:t xml:space="preserve">                                 </w:t>
      </w:r>
    </w:p>
    <w:p w:rsidR="00A4396D" w:rsidRDefault="00A4396D" w:rsidP="00A4396D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A4396D" w:rsidRDefault="00A4396D" w:rsidP="00A4396D">
      <w:pPr>
        <w:jc w:val="right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Autoria: Poder Executivo Municipal</w:t>
      </w:r>
    </w:p>
    <w:p w:rsidR="00A4396D" w:rsidRDefault="00A4396D" w:rsidP="00A4396D">
      <w:pPr>
        <w:jc w:val="right"/>
        <w:rPr>
          <w:rFonts w:ascii="Rubik Light" w:hAnsi="Rubik Light" w:cs="Rubik Light"/>
          <w:b/>
          <w:i/>
          <w:color w:val="000000" w:themeColor="text1"/>
          <w:sz w:val="24"/>
          <w:szCs w:val="24"/>
        </w:rPr>
      </w:pPr>
    </w:p>
    <w:p w:rsidR="00A4396D" w:rsidRDefault="00A4396D" w:rsidP="00A4396D">
      <w:pPr>
        <w:tabs>
          <w:tab w:val="left" w:pos="2977"/>
        </w:tabs>
        <w:ind w:left="3969"/>
        <w:jc w:val="both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AUTORIZA O PODER EXECUTIVO MUNICIPAL A ABRIR CRÉDITO ADICIONAL ESPECIAL NO VALOR DE R$ 52.492,81 E DÁ OUTRAS PROVIDÊNCIAS.</w:t>
      </w:r>
    </w:p>
    <w:p w:rsidR="00A4396D" w:rsidRDefault="00A4396D" w:rsidP="00A4396D">
      <w:pPr>
        <w:ind w:left="851"/>
        <w:jc w:val="both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</w:p>
    <w:p w:rsidR="00A4396D" w:rsidRDefault="00A4396D" w:rsidP="00A4396D">
      <w:pPr>
        <w:ind w:right="-5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O 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PREFEITO MUNICIPAL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de Campo Novo do Parecis, Estado de Mato Grosso, faz saber que a Câmara Municipal aprovou e eu sanciono a seguinte Lei:</w:t>
      </w:r>
    </w:p>
    <w:p w:rsidR="00A4396D" w:rsidRDefault="00A4396D" w:rsidP="00A4396D">
      <w:pPr>
        <w:pStyle w:val="Corpodetexto"/>
        <w:rPr>
          <w:rFonts w:ascii="Rubik Light" w:hAnsi="Rubik Light" w:cs="Rubik Light"/>
        </w:rPr>
      </w:pPr>
    </w:p>
    <w:p w:rsidR="00A4396D" w:rsidRDefault="00A4396D" w:rsidP="00A4396D">
      <w:pPr>
        <w:spacing w:line="324" w:lineRule="auto"/>
        <w:ind w:left="169" w:right="122" w:firstLine="734"/>
        <w:jc w:val="both"/>
        <w:rPr>
          <w:rFonts w:ascii="Rubik Light" w:hAnsi="Rubik Light" w:cs="Rubik Light"/>
          <w:sz w:val="24"/>
          <w:szCs w:val="24"/>
        </w:rPr>
      </w:pPr>
    </w:p>
    <w:p w:rsidR="00A4396D" w:rsidRDefault="00A4396D" w:rsidP="00A4396D">
      <w:pPr>
        <w:spacing w:line="324" w:lineRule="auto"/>
        <w:ind w:left="169" w:right="122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b/>
          <w:sz w:val="24"/>
          <w:szCs w:val="24"/>
        </w:rPr>
        <w:t>Art. 1º.</w:t>
      </w:r>
      <w:r>
        <w:rPr>
          <w:rFonts w:ascii="Rubik Light" w:hAnsi="Rubik Light" w:cs="Rubik Light"/>
          <w:sz w:val="24"/>
          <w:szCs w:val="24"/>
        </w:rPr>
        <w:t xml:space="preserve">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Fica o Poder Executivo Municipal autorizado a abrir crédito adicional especial no Orçamento Geral do Município no valor de</w:t>
      </w:r>
      <w:r>
        <w:rPr>
          <w:rFonts w:ascii="Rubik Light" w:hAnsi="Rubik Light" w:cs="Rubik Light"/>
          <w:sz w:val="24"/>
          <w:szCs w:val="24"/>
        </w:rPr>
        <w:t xml:space="preserve"> R$  52.492,81 (cinquenta e dois mil, quatrocentos e noventa e dois reais e oitenta e um centavos), nos termos do inciso II do art. 41, da Lei Federal nº 4.320/64, com seguinte classificação orçamentária:</w:t>
      </w:r>
    </w:p>
    <w:p w:rsidR="00A4396D" w:rsidRDefault="00A4396D" w:rsidP="00A4396D">
      <w:pPr>
        <w:tabs>
          <w:tab w:val="left" w:pos="851"/>
        </w:tabs>
        <w:spacing w:before="258"/>
        <w:ind w:left="169" w:right="159"/>
        <w:rPr>
          <w:rFonts w:ascii="Rubik Light" w:hAnsi="Rubik Light" w:cs="Rubik Light"/>
          <w:b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08. SECRETARIA</w:t>
      </w:r>
      <w:r>
        <w:rPr>
          <w:rFonts w:ascii="Rubik Light" w:hAnsi="Rubik Light" w:cs="Rubik Light"/>
          <w:b/>
          <w:spacing w:val="-17"/>
          <w:sz w:val="24"/>
          <w:szCs w:val="24"/>
        </w:rPr>
        <w:t xml:space="preserve"> </w:t>
      </w:r>
      <w:r>
        <w:rPr>
          <w:rFonts w:ascii="Rubik Light" w:hAnsi="Rubik Light" w:cs="Rubik Light"/>
          <w:b/>
          <w:sz w:val="24"/>
          <w:szCs w:val="24"/>
        </w:rPr>
        <w:t>MUNICIPAL</w:t>
      </w:r>
      <w:r>
        <w:rPr>
          <w:rFonts w:ascii="Rubik Light" w:hAnsi="Rubik Light" w:cs="Rubik Light"/>
          <w:b/>
          <w:spacing w:val="-17"/>
          <w:sz w:val="24"/>
          <w:szCs w:val="24"/>
        </w:rPr>
        <w:t xml:space="preserve"> </w:t>
      </w:r>
      <w:r>
        <w:rPr>
          <w:rFonts w:ascii="Rubik Light" w:hAnsi="Rubik Light" w:cs="Rubik Light"/>
          <w:b/>
          <w:sz w:val="24"/>
          <w:szCs w:val="24"/>
        </w:rPr>
        <w:t>DE</w:t>
      </w:r>
      <w:r>
        <w:rPr>
          <w:rFonts w:ascii="Rubik Light" w:hAnsi="Rubik Light" w:cs="Rubik Light"/>
          <w:b/>
          <w:spacing w:val="-17"/>
          <w:sz w:val="24"/>
          <w:szCs w:val="24"/>
        </w:rPr>
        <w:t xml:space="preserve"> </w:t>
      </w:r>
      <w:r>
        <w:rPr>
          <w:rFonts w:ascii="Rubik Light" w:hAnsi="Rubik Light" w:cs="Rubik Light"/>
          <w:b/>
          <w:sz w:val="24"/>
          <w:szCs w:val="24"/>
        </w:rPr>
        <w:t>DESENVOLVIMENTO</w:t>
      </w:r>
      <w:r>
        <w:rPr>
          <w:rFonts w:ascii="Rubik Light" w:hAnsi="Rubik Light" w:cs="Rubik Light"/>
          <w:b/>
          <w:spacing w:val="-17"/>
          <w:sz w:val="24"/>
          <w:szCs w:val="24"/>
        </w:rPr>
        <w:t xml:space="preserve"> </w:t>
      </w:r>
      <w:r>
        <w:rPr>
          <w:rFonts w:ascii="Rubik Light" w:hAnsi="Rubik Light" w:cs="Rubik Light"/>
          <w:b/>
          <w:sz w:val="24"/>
          <w:szCs w:val="24"/>
        </w:rPr>
        <w:t>ECONÔMICO</w:t>
      </w:r>
      <w:r>
        <w:rPr>
          <w:rFonts w:ascii="Rubik Light" w:hAnsi="Rubik Light" w:cs="Rubik Light"/>
          <w:b/>
          <w:spacing w:val="-16"/>
          <w:sz w:val="24"/>
          <w:szCs w:val="24"/>
        </w:rPr>
        <w:t xml:space="preserve"> </w:t>
      </w:r>
      <w:r>
        <w:rPr>
          <w:rFonts w:ascii="Rubik Light" w:hAnsi="Rubik Light" w:cs="Rubik Light"/>
          <w:b/>
          <w:sz w:val="24"/>
          <w:szCs w:val="24"/>
        </w:rPr>
        <w:t>E</w:t>
      </w:r>
      <w:r>
        <w:rPr>
          <w:rFonts w:ascii="Rubik Light" w:hAnsi="Rubik Light" w:cs="Rubik Light"/>
          <w:b/>
          <w:spacing w:val="-17"/>
          <w:sz w:val="24"/>
          <w:szCs w:val="24"/>
        </w:rPr>
        <w:t xml:space="preserve"> </w:t>
      </w:r>
      <w:r>
        <w:rPr>
          <w:rFonts w:ascii="Rubik Light" w:hAnsi="Rubik Light" w:cs="Rubik Light"/>
          <w:b/>
          <w:sz w:val="24"/>
          <w:szCs w:val="24"/>
        </w:rPr>
        <w:t>MEIO</w:t>
      </w:r>
      <w:r>
        <w:rPr>
          <w:rFonts w:ascii="Rubik Light" w:hAnsi="Rubik Light" w:cs="Rubik Light"/>
          <w:b/>
          <w:spacing w:val="-17"/>
          <w:sz w:val="24"/>
          <w:szCs w:val="24"/>
        </w:rPr>
        <w:t xml:space="preserve"> </w:t>
      </w:r>
      <w:r>
        <w:rPr>
          <w:rFonts w:ascii="Rubik Light" w:hAnsi="Rubik Light" w:cs="Rubik Light"/>
          <w:b/>
          <w:sz w:val="24"/>
          <w:szCs w:val="24"/>
        </w:rPr>
        <w:t>AMBIENTE</w:t>
      </w:r>
    </w:p>
    <w:p w:rsidR="00A4396D" w:rsidRDefault="00A4396D" w:rsidP="00A4396D">
      <w:pPr>
        <w:spacing w:before="46"/>
        <w:ind w:left="169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08.004 . FUNDO MUNICIPAL DE MEIO</w:t>
      </w:r>
      <w:r>
        <w:rPr>
          <w:rFonts w:ascii="Rubik Light" w:hAnsi="Rubik Light" w:cs="Rubik Light"/>
          <w:spacing w:val="-5"/>
          <w:sz w:val="24"/>
          <w:szCs w:val="24"/>
        </w:rPr>
        <w:t xml:space="preserve"> </w:t>
      </w:r>
      <w:r>
        <w:rPr>
          <w:rFonts w:ascii="Rubik Light" w:hAnsi="Rubik Light" w:cs="Rubik Light"/>
          <w:sz w:val="24"/>
          <w:szCs w:val="24"/>
        </w:rPr>
        <w:t>AMBIENTE</w:t>
      </w:r>
    </w:p>
    <w:p w:rsidR="00A4396D" w:rsidRDefault="00A4396D" w:rsidP="00A4396D">
      <w:pPr>
        <w:spacing w:before="74"/>
        <w:ind w:left="169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004.18.542.0017.20131 MANUTENÇÃO DA COORDENADORIA DE MEIO AMBIENTE</w:t>
      </w:r>
    </w:p>
    <w:tbl>
      <w:tblPr>
        <w:tblStyle w:val="TableNormal"/>
        <w:tblW w:w="9225" w:type="dxa"/>
        <w:tblInd w:w="126" w:type="dxa"/>
        <w:tblLayout w:type="fixed"/>
        <w:tblLook w:val="01E0"/>
      </w:tblPr>
      <w:tblGrid>
        <w:gridCol w:w="1716"/>
        <w:gridCol w:w="5525"/>
        <w:gridCol w:w="330"/>
        <w:gridCol w:w="20"/>
        <w:gridCol w:w="1634"/>
      </w:tblGrid>
      <w:tr w:rsidR="00A4396D" w:rsidTr="00A4396D">
        <w:trPr>
          <w:trHeight w:val="266"/>
        </w:trPr>
        <w:tc>
          <w:tcPr>
            <w:tcW w:w="1717" w:type="dxa"/>
            <w:hideMark/>
          </w:tcPr>
          <w:p w:rsidR="00A4396D" w:rsidRDefault="00A4396D">
            <w:pPr>
              <w:pStyle w:val="TableParagraph"/>
              <w:spacing w:before="14"/>
              <w:ind w:left="50"/>
              <w:jc w:val="both"/>
              <w:rPr>
                <w:rFonts w:ascii="Rubik Light" w:hAnsi="Rubik Light" w:cs="Rubik Light"/>
                <w:sz w:val="24"/>
                <w:szCs w:val="24"/>
              </w:rPr>
            </w:pPr>
            <w:r>
              <w:rPr>
                <w:rFonts w:ascii="Rubik Light" w:hAnsi="Rubik Light" w:cs="Rubik Light"/>
                <w:sz w:val="24"/>
                <w:szCs w:val="24"/>
              </w:rPr>
              <w:t>3371000000</w:t>
            </w:r>
          </w:p>
        </w:tc>
        <w:tc>
          <w:tcPr>
            <w:tcW w:w="7513" w:type="dxa"/>
            <w:gridSpan w:val="4"/>
            <w:hideMark/>
          </w:tcPr>
          <w:p w:rsidR="00A4396D" w:rsidRDefault="00A4396D">
            <w:pPr>
              <w:pStyle w:val="TableParagraph"/>
              <w:jc w:val="both"/>
              <w:rPr>
                <w:rFonts w:ascii="Rubik Light" w:hAnsi="Rubik Light" w:cs="Rubik Light"/>
                <w:sz w:val="24"/>
                <w:szCs w:val="24"/>
              </w:rPr>
            </w:pPr>
            <w:r>
              <w:rPr>
                <w:rFonts w:ascii="Rubik Light" w:hAnsi="Rubik Light" w:cs="Rubik Light"/>
                <w:sz w:val="24"/>
                <w:szCs w:val="24"/>
              </w:rPr>
              <w:t>- Transferências a Consórcios Públicos Mediante Contrato de Rateio</w:t>
            </w:r>
          </w:p>
        </w:tc>
      </w:tr>
      <w:tr w:rsidR="00A4396D" w:rsidTr="00A4396D">
        <w:trPr>
          <w:trHeight w:val="303"/>
        </w:trPr>
        <w:tc>
          <w:tcPr>
            <w:tcW w:w="1717" w:type="dxa"/>
            <w:hideMark/>
          </w:tcPr>
          <w:p w:rsidR="00A4396D" w:rsidRDefault="00A4396D">
            <w:pPr>
              <w:pStyle w:val="TableParagraph"/>
              <w:spacing w:before="70"/>
              <w:ind w:left="50"/>
              <w:rPr>
                <w:rFonts w:ascii="Rubik Light" w:hAnsi="Rubik Light" w:cs="Rubik Light"/>
                <w:sz w:val="24"/>
                <w:szCs w:val="24"/>
              </w:rPr>
            </w:pPr>
            <w:r>
              <w:rPr>
                <w:rFonts w:ascii="Rubik Light" w:hAnsi="Rubik Light" w:cs="Rubik Light"/>
                <w:sz w:val="24"/>
                <w:szCs w:val="24"/>
              </w:rPr>
              <w:t>0.1.00.000000</w:t>
            </w:r>
          </w:p>
        </w:tc>
        <w:tc>
          <w:tcPr>
            <w:tcW w:w="5528" w:type="dxa"/>
            <w:hideMark/>
          </w:tcPr>
          <w:p w:rsidR="00A4396D" w:rsidRDefault="00A4396D">
            <w:pPr>
              <w:pStyle w:val="TableParagraph"/>
              <w:tabs>
                <w:tab w:val="left" w:pos="2969"/>
              </w:tabs>
              <w:spacing w:before="70"/>
              <w:rPr>
                <w:rFonts w:ascii="Rubik Light" w:hAnsi="Rubik Light" w:cs="Rubik Light"/>
                <w:sz w:val="24"/>
                <w:szCs w:val="24"/>
              </w:rPr>
            </w:pPr>
            <w:r>
              <w:rPr>
                <w:rFonts w:ascii="Rubik Light" w:hAnsi="Rubik Light" w:cs="Rubik Light"/>
                <w:sz w:val="24"/>
                <w:szCs w:val="24"/>
              </w:rPr>
              <w:t xml:space="preserve"> - Recursos Ordinários</w:t>
            </w:r>
            <w:r>
              <w:rPr>
                <w:rFonts w:ascii="Rubik Light" w:hAnsi="Rubik Light" w:cs="Rubik Light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Rubik Light" w:hAnsi="Rubik Light" w:cs="Rubik Light"/>
                <w:sz w:val="24"/>
                <w:szCs w:val="24"/>
              </w:rPr>
              <w:t>-</w:t>
            </w:r>
            <w:r>
              <w:rPr>
                <w:rFonts w:ascii="Rubik Light" w:hAnsi="Rubik Light" w:cs="Rubik Ligh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Rubik Light" w:hAnsi="Rubik Light" w:cs="Rubik Light"/>
                <w:sz w:val="24"/>
                <w:szCs w:val="24"/>
              </w:rPr>
              <w:t>Exercício</w:t>
            </w:r>
            <w:r>
              <w:rPr>
                <w:rFonts w:ascii="Rubik Light" w:hAnsi="Rubik Light" w:cs="Rubik Light"/>
                <w:sz w:val="24"/>
                <w:szCs w:val="24"/>
              </w:rPr>
              <w:tab/>
            </w:r>
          </w:p>
        </w:tc>
        <w:tc>
          <w:tcPr>
            <w:tcW w:w="330" w:type="dxa"/>
          </w:tcPr>
          <w:p w:rsidR="00A4396D" w:rsidRDefault="00A4396D">
            <w:pPr>
              <w:pStyle w:val="TableParagraph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20" w:type="dxa"/>
            <w:hideMark/>
          </w:tcPr>
          <w:p w:rsidR="00A4396D" w:rsidRDefault="00A4396D">
            <w:pPr>
              <w:pStyle w:val="TableParagraph"/>
              <w:spacing w:before="34"/>
              <w:ind w:left="-866"/>
              <w:rPr>
                <w:rFonts w:ascii="Rubik Light" w:hAnsi="Rubik Light" w:cs="Rubik Light"/>
                <w:sz w:val="24"/>
                <w:szCs w:val="24"/>
              </w:rPr>
            </w:pPr>
            <w:r>
              <w:rPr>
                <w:rFonts w:ascii="Rubik Light" w:hAnsi="Rubik Light" w:cs="Rubik Light"/>
                <w:sz w:val="24"/>
                <w:szCs w:val="24"/>
              </w:rPr>
              <w:t>R$</w:t>
            </w:r>
          </w:p>
        </w:tc>
        <w:tc>
          <w:tcPr>
            <w:tcW w:w="1635" w:type="dxa"/>
            <w:hideMark/>
          </w:tcPr>
          <w:p w:rsidR="00A4396D" w:rsidRDefault="00A4396D">
            <w:pPr>
              <w:pStyle w:val="TableParagraph"/>
              <w:spacing w:before="70"/>
              <w:ind w:right="42"/>
              <w:jc w:val="right"/>
              <w:rPr>
                <w:rFonts w:ascii="Rubik Light" w:hAnsi="Rubik Light" w:cs="Rubik Light"/>
                <w:sz w:val="24"/>
                <w:szCs w:val="24"/>
              </w:rPr>
            </w:pPr>
            <w:r>
              <w:rPr>
                <w:rFonts w:ascii="Rubik Light" w:hAnsi="Rubik Light" w:cs="Rubik Light"/>
                <w:w w:val="95"/>
                <w:sz w:val="24"/>
                <w:szCs w:val="24"/>
              </w:rPr>
              <w:t>R$ 52.492,81</w:t>
            </w:r>
          </w:p>
        </w:tc>
      </w:tr>
      <w:tr w:rsidR="00A4396D" w:rsidTr="00A4396D">
        <w:trPr>
          <w:trHeight w:val="282"/>
        </w:trPr>
        <w:tc>
          <w:tcPr>
            <w:tcW w:w="1717" w:type="dxa"/>
          </w:tcPr>
          <w:p w:rsidR="00A4396D" w:rsidRDefault="00A4396D">
            <w:pPr>
              <w:pStyle w:val="TableParagraph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5528" w:type="dxa"/>
          </w:tcPr>
          <w:p w:rsidR="00A4396D" w:rsidRDefault="00A4396D">
            <w:pPr>
              <w:pStyle w:val="TableParagraph"/>
              <w:spacing w:before="40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330" w:type="dxa"/>
          </w:tcPr>
          <w:p w:rsidR="00A4396D" w:rsidRDefault="00A4396D">
            <w:pPr>
              <w:pStyle w:val="TableParagraph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20" w:type="dxa"/>
          </w:tcPr>
          <w:p w:rsidR="00A4396D" w:rsidRDefault="00A4396D">
            <w:pPr>
              <w:pStyle w:val="TableParagraph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1635" w:type="dxa"/>
          </w:tcPr>
          <w:p w:rsidR="00A4396D" w:rsidRDefault="00A4396D">
            <w:pPr>
              <w:pStyle w:val="TableParagraph"/>
              <w:rPr>
                <w:rFonts w:ascii="Rubik Light" w:hAnsi="Rubik Light" w:cs="Rubik Light"/>
                <w:sz w:val="24"/>
                <w:szCs w:val="24"/>
              </w:rPr>
            </w:pPr>
          </w:p>
        </w:tc>
      </w:tr>
      <w:tr w:rsidR="00A4396D" w:rsidTr="00A4396D">
        <w:trPr>
          <w:trHeight w:val="312"/>
        </w:trPr>
        <w:tc>
          <w:tcPr>
            <w:tcW w:w="7245" w:type="dxa"/>
            <w:gridSpan w:val="2"/>
            <w:hideMark/>
          </w:tcPr>
          <w:p w:rsidR="00A4396D" w:rsidRDefault="00A4396D">
            <w:pPr>
              <w:pStyle w:val="TableParagraph"/>
              <w:spacing w:before="63" w:line="229" w:lineRule="exact"/>
              <w:rPr>
                <w:rFonts w:ascii="Rubik Light" w:hAnsi="Rubik Light" w:cs="Rubik Light"/>
                <w:b/>
                <w:sz w:val="24"/>
                <w:szCs w:val="24"/>
              </w:rPr>
            </w:pPr>
            <w:r>
              <w:rPr>
                <w:rFonts w:ascii="Rubik Light" w:hAnsi="Rubik Light" w:cs="Rubik Light"/>
                <w:b/>
                <w:sz w:val="24"/>
                <w:szCs w:val="24"/>
              </w:rPr>
              <w:t>TOTAL DO CRÉDITO</w:t>
            </w:r>
          </w:p>
        </w:tc>
        <w:tc>
          <w:tcPr>
            <w:tcW w:w="330" w:type="dxa"/>
            <w:hideMark/>
          </w:tcPr>
          <w:p w:rsidR="00A4396D" w:rsidRDefault="00A4396D">
            <w:pPr>
              <w:pStyle w:val="TableParagraph"/>
              <w:spacing w:before="49"/>
              <w:ind w:left="-961"/>
              <w:rPr>
                <w:rFonts w:ascii="Rubik Light" w:hAnsi="Rubik Light" w:cs="Rubik Light"/>
                <w:b/>
                <w:sz w:val="24"/>
                <w:szCs w:val="24"/>
              </w:rPr>
            </w:pPr>
            <w:r>
              <w:rPr>
                <w:rFonts w:ascii="Rubik Light" w:hAnsi="Rubik Light" w:cs="Rubik Light"/>
                <w:b/>
                <w:w w:val="90"/>
                <w:sz w:val="24"/>
                <w:szCs w:val="24"/>
              </w:rPr>
              <w:t>R$</w:t>
            </w:r>
          </w:p>
        </w:tc>
        <w:tc>
          <w:tcPr>
            <w:tcW w:w="20" w:type="dxa"/>
          </w:tcPr>
          <w:p w:rsidR="00A4396D" w:rsidRDefault="00A4396D">
            <w:pPr>
              <w:pStyle w:val="TableParagraph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1635" w:type="dxa"/>
            <w:hideMark/>
          </w:tcPr>
          <w:p w:rsidR="00A4396D" w:rsidRDefault="00A4396D">
            <w:pPr>
              <w:pStyle w:val="TableParagraph"/>
              <w:spacing w:before="70" w:line="221" w:lineRule="exact"/>
              <w:ind w:right="44"/>
              <w:jc w:val="right"/>
              <w:rPr>
                <w:rFonts w:ascii="Rubik Light" w:hAnsi="Rubik Light" w:cs="Rubik Light"/>
                <w:b/>
                <w:sz w:val="24"/>
                <w:szCs w:val="24"/>
              </w:rPr>
            </w:pPr>
            <w:r>
              <w:rPr>
                <w:rFonts w:ascii="Rubik Light" w:hAnsi="Rubik Light" w:cs="Rubik Light"/>
                <w:b/>
                <w:w w:val="85"/>
                <w:sz w:val="24"/>
                <w:szCs w:val="24"/>
              </w:rPr>
              <w:t>R$ 52.492,81</w:t>
            </w:r>
          </w:p>
        </w:tc>
      </w:tr>
    </w:tbl>
    <w:p w:rsidR="00A4396D" w:rsidRDefault="00A4396D" w:rsidP="00A4396D">
      <w:pPr>
        <w:pStyle w:val="Corpodetexto"/>
        <w:spacing w:before="172" w:line="312" w:lineRule="auto"/>
        <w:ind w:left="169" w:right="120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b/>
        </w:rPr>
        <w:t>Art. 2º</w:t>
      </w:r>
      <w:r>
        <w:rPr>
          <w:rFonts w:ascii="Rubik Light" w:hAnsi="Rubik Light" w:cs="Rubik Light"/>
        </w:rPr>
        <w:t xml:space="preserve">. Para dar cobertura ao crédito adicional especial aberto no artigo anterior serão utilizados os recursos provenientes da anulação parcial ou total com remanejamento e transposição na forma do art. 43, § 1º, inciso III, da Lei Federal nº 4.320/64, da seguinte dotação orçamentária: </w:t>
      </w:r>
    </w:p>
    <w:p w:rsidR="00A4396D" w:rsidRDefault="00A4396D" w:rsidP="00A4396D">
      <w:pPr>
        <w:tabs>
          <w:tab w:val="left" w:pos="851"/>
        </w:tabs>
        <w:spacing w:before="100"/>
        <w:ind w:left="169"/>
        <w:rPr>
          <w:rFonts w:ascii="Rubik Light" w:hAnsi="Rubik Light" w:cs="Rubik Light"/>
          <w:b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08. SECRETARIA</w:t>
      </w:r>
      <w:r>
        <w:rPr>
          <w:rFonts w:ascii="Rubik Light" w:hAnsi="Rubik Light" w:cs="Rubik Light"/>
          <w:b/>
          <w:spacing w:val="-17"/>
          <w:sz w:val="24"/>
          <w:szCs w:val="24"/>
        </w:rPr>
        <w:t xml:space="preserve"> </w:t>
      </w:r>
      <w:r>
        <w:rPr>
          <w:rFonts w:ascii="Rubik Light" w:hAnsi="Rubik Light" w:cs="Rubik Light"/>
          <w:b/>
          <w:sz w:val="24"/>
          <w:szCs w:val="24"/>
        </w:rPr>
        <w:t>MUNICIPAL</w:t>
      </w:r>
      <w:r>
        <w:rPr>
          <w:rFonts w:ascii="Rubik Light" w:hAnsi="Rubik Light" w:cs="Rubik Light"/>
          <w:b/>
          <w:spacing w:val="-17"/>
          <w:sz w:val="24"/>
          <w:szCs w:val="24"/>
        </w:rPr>
        <w:t xml:space="preserve"> </w:t>
      </w:r>
      <w:r>
        <w:rPr>
          <w:rFonts w:ascii="Rubik Light" w:hAnsi="Rubik Light" w:cs="Rubik Light"/>
          <w:b/>
          <w:sz w:val="24"/>
          <w:szCs w:val="24"/>
        </w:rPr>
        <w:t>DE</w:t>
      </w:r>
      <w:r>
        <w:rPr>
          <w:rFonts w:ascii="Rubik Light" w:hAnsi="Rubik Light" w:cs="Rubik Light"/>
          <w:b/>
          <w:spacing w:val="-17"/>
          <w:sz w:val="24"/>
          <w:szCs w:val="24"/>
        </w:rPr>
        <w:t xml:space="preserve"> </w:t>
      </w:r>
      <w:r>
        <w:rPr>
          <w:rFonts w:ascii="Rubik Light" w:hAnsi="Rubik Light" w:cs="Rubik Light"/>
          <w:b/>
          <w:sz w:val="24"/>
          <w:szCs w:val="24"/>
        </w:rPr>
        <w:t>DESENVOLVIMENTO</w:t>
      </w:r>
      <w:r>
        <w:rPr>
          <w:rFonts w:ascii="Rubik Light" w:hAnsi="Rubik Light" w:cs="Rubik Light"/>
          <w:b/>
          <w:spacing w:val="-17"/>
          <w:sz w:val="24"/>
          <w:szCs w:val="24"/>
        </w:rPr>
        <w:t xml:space="preserve"> </w:t>
      </w:r>
      <w:r>
        <w:rPr>
          <w:rFonts w:ascii="Rubik Light" w:hAnsi="Rubik Light" w:cs="Rubik Light"/>
          <w:b/>
          <w:sz w:val="24"/>
          <w:szCs w:val="24"/>
        </w:rPr>
        <w:t>ECONÔMICO</w:t>
      </w:r>
      <w:r>
        <w:rPr>
          <w:rFonts w:ascii="Rubik Light" w:hAnsi="Rubik Light" w:cs="Rubik Light"/>
          <w:b/>
          <w:spacing w:val="-16"/>
          <w:sz w:val="24"/>
          <w:szCs w:val="24"/>
        </w:rPr>
        <w:t xml:space="preserve"> </w:t>
      </w:r>
      <w:r>
        <w:rPr>
          <w:rFonts w:ascii="Rubik Light" w:hAnsi="Rubik Light" w:cs="Rubik Light"/>
          <w:b/>
          <w:sz w:val="24"/>
          <w:szCs w:val="24"/>
        </w:rPr>
        <w:t>E</w:t>
      </w:r>
      <w:r>
        <w:rPr>
          <w:rFonts w:ascii="Rubik Light" w:hAnsi="Rubik Light" w:cs="Rubik Light"/>
          <w:b/>
          <w:spacing w:val="-17"/>
          <w:sz w:val="24"/>
          <w:szCs w:val="24"/>
        </w:rPr>
        <w:t xml:space="preserve"> </w:t>
      </w:r>
      <w:r>
        <w:rPr>
          <w:rFonts w:ascii="Rubik Light" w:hAnsi="Rubik Light" w:cs="Rubik Light"/>
          <w:b/>
          <w:sz w:val="24"/>
          <w:szCs w:val="24"/>
        </w:rPr>
        <w:t>MEIO</w:t>
      </w:r>
      <w:r>
        <w:rPr>
          <w:rFonts w:ascii="Rubik Light" w:hAnsi="Rubik Light" w:cs="Rubik Light"/>
          <w:b/>
          <w:spacing w:val="-17"/>
          <w:sz w:val="24"/>
          <w:szCs w:val="24"/>
        </w:rPr>
        <w:t xml:space="preserve"> </w:t>
      </w:r>
      <w:r>
        <w:rPr>
          <w:rFonts w:ascii="Rubik Light" w:hAnsi="Rubik Light" w:cs="Rubik Light"/>
          <w:b/>
          <w:sz w:val="24"/>
          <w:szCs w:val="24"/>
        </w:rPr>
        <w:t>AMBIENTE</w:t>
      </w:r>
    </w:p>
    <w:p w:rsidR="00A4396D" w:rsidRDefault="00A4396D" w:rsidP="00A4396D">
      <w:pPr>
        <w:tabs>
          <w:tab w:val="left" w:pos="1134"/>
        </w:tabs>
        <w:spacing w:before="46"/>
        <w:ind w:left="169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08.004. FUNDO MUNICIPAL DE MEIO</w:t>
      </w:r>
      <w:r>
        <w:rPr>
          <w:rFonts w:ascii="Rubik Light" w:hAnsi="Rubik Light" w:cs="Rubik Light"/>
          <w:spacing w:val="-5"/>
          <w:sz w:val="24"/>
          <w:szCs w:val="24"/>
        </w:rPr>
        <w:t xml:space="preserve"> </w:t>
      </w:r>
      <w:r>
        <w:rPr>
          <w:rFonts w:ascii="Rubik Light" w:hAnsi="Rubik Light" w:cs="Rubik Light"/>
          <w:sz w:val="24"/>
          <w:szCs w:val="24"/>
        </w:rPr>
        <w:t>AMBIENTE</w:t>
      </w:r>
    </w:p>
    <w:p w:rsidR="00A4396D" w:rsidRDefault="00A4396D" w:rsidP="00A4396D">
      <w:pPr>
        <w:spacing w:before="74"/>
        <w:ind w:left="169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004.18.542.0017.20131 MANUTENÇÃO DA COORDENADORIA DE MEIO AMBIENTE</w:t>
      </w:r>
    </w:p>
    <w:tbl>
      <w:tblPr>
        <w:tblStyle w:val="TableNormal"/>
        <w:tblW w:w="9315" w:type="dxa"/>
        <w:tblInd w:w="142" w:type="dxa"/>
        <w:tblLayout w:type="fixed"/>
        <w:tblLook w:val="01E0"/>
      </w:tblPr>
      <w:tblGrid>
        <w:gridCol w:w="1702"/>
        <w:gridCol w:w="5248"/>
        <w:gridCol w:w="20"/>
        <w:gridCol w:w="816"/>
        <w:gridCol w:w="1529"/>
      </w:tblGrid>
      <w:tr w:rsidR="00A4396D" w:rsidTr="00A4396D">
        <w:trPr>
          <w:trHeight w:val="266"/>
        </w:trPr>
        <w:tc>
          <w:tcPr>
            <w:tcW w:w="1701" w:type="dxa"/>
            <w:hideMark/>
          </w:tcPr>
          <w:p w:rsidR="00A4396D" w:rsidRDefault="00A4396D">
            <w:pPr>
              <w:pStyle w:val="TableParagraph"/>
              <w:spacing w:before="14"/>
              <w:ind w:left="50"/>
              <w:rPr>
                <w:rFonts w:ascii="Rubik Light" w:hAnsi="Rubik Light" w:cs="Rubik Light"/>
                <w:sz w:val="24"/>
                <w:szCs w:val="24"/>
              </w:rPr>
            </w:pPr>
            <w:r>
              <w:rPr>
                <w:rFonts w:ascii="Rubik Light" w:hAnsi="Rubik Light" w:cs="Rubik Light"/>
                <w:sz w:val="24"/>
                <w:szCs w:val="24"/>
              </w:rPr>
              <w:t>3350000000</w:t>
            </w:r>
          </w:p>
        </w:tc>
        <w:tc>
          <w:tcPr>
            <w:tcW w:w="7608" w:type="dxa"/>
            <w:gridSpan w:val="4"/>
            <w:hideMark/>
          </w:tcPr>
          <w:p w:rsidR="00A4396D" w:rsidRDefault="00A4396D">
            <w:pPr>
              <w:pStyle w:val="TableParagraph"/>
              <w:rPr>
                <w:rFonts w:ascii="Rubik Light" w:hAnsi="Rubik Light" w:cs="Rubik Light"/>
                <w:sz w:val="24"/>
                <w:szCs w:val="24"/>
              </w:rPr>
            </w:pPr>
            <w:r>
              <w:rPr>
                <w:rFonts w:ascii="Rubik Light" w:hAnsi="Rubik Light" w:cs="Rubik Light"/>
                <w:sz w:val="24"/>
                <w:szCs w:val="24"/>
              </w:rPr>
              <w:t>Transferências a Instituições Privadas Sem Fins Lucrativos</w:t>
            </w:r>
          </w:p>
        </w:tc>
      </w:tr>
      <w:tr w:rsidR="00A4396D" w:rsidTr="00A4396D">
        <w:trPr>
          <w:trHeight w:val="303"/>
        </w:trPr>
        <w:tc>
          <w:tcPr>
            <w:tcW w:w="1701" w:type="dxa"/>
            <w:hideMark/>
          </w:tcPr>
          <w:p w:rsidR="00A4396D" w:rsidRDefault="00A4396D">
            <w:pPr>
              <w:pStyle w:val="TableParagraph"/>
              <w:spacing w:before="70"/>
              <w:ind w:left="50"/>
              <w:rPr>
                <w:rFonts w:ascii="Rubik Light" w:hAnsi="Rubik Light" w:cs="Rubik Light"/>
                <w:sz w:val="24"/>
                <w:szCs w:val="24"/>
              </w:rPr>
            </w:pPr>
            <w:r>
              <w:rPr>
                <w:rFonts w:ascii="Rubik Light" w:hAnsi="Rubik Light" w:cs="Rubik Light"/>
                <w:sz w:val="24"/>
                <w:szCs w:val="24"/>
              </w:rPr>
              <w:t>0.1.00.000000</w:t>
            </w:r>
          </w:p>
        </w:tc>
        <w:tc>
          <w:tcPr>
            <w:tcW w:w="5245" w:type="dxa"/>
            <w:hideMark/>
          </w:tcPr>
          <w:p w:rsidR="00A4396D" w:rsidRDefault="00A4396D">
            <w:pPr>
              <w:pStyle w:val="TableParagraph"/>
              <w:tabs>
                <w:tab w:val="left" w:pos="2969"/>
              </w:tabs>
              <w:spacing w:before="70"/>
              <w:ind w:right="1134"/>
              <w:rPr>
                <w:rFonts w:ascii="Rubik Light" w:hAnsi="Rubik Light" w:cs="Rubik Light"/>
                <w:sz w:val="24"/>
                <w:szCs w:val="24"/>
              </w:rPr>
            </w:pPr>
            <w:r>
              <w:rPr>
                <w:rFonts w:ascii="Rubik Light" w:hAnsi="Rubik Light" w:cs="Rubik Light"/>
                <w:sz w:val="24"/>
                <w:szCs w:val="24"/>
              </w:rPr>
              <w:t xml:space="preserve"> - Recursos Ordinários</w:t>
            </w:r>
            <w:r>
              <w:rPr>
                <w:rFonts w:ascii="Rubik Light" w:hAnsi="Rubik Light" w:cs="Rubik Light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Rubik Light" w:hAnsi="Rubik Light" w:cs="Rubik Light"/>
                <w:sz w:val="24"/>
                <w:szCs w:val="24"/>
              </w:rPr>
              <w:t>-</w:t>
            </w:r>
            <w:r>
              <w:rPr>
                <w:rFonts w:ascii="Rubik Light" w:hAnsi="Rubik Light" w:cs="Rubik Ligh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Rubik Light" w:hAnsi="Rubik Light" w:cs="Rubik Light"/>
                <w:sz w:val="24"/>
                <w:szCs w:val="24"/>
              </w:rPr>
              <w:t>Exercício</w:t>
            </w:r>
            <w:r>
              <w:rPr>
                <w:rFonts w:ascii="Rubik Light" w:hAnsi="Rubik Light" w:cs="Rubik Light"/>
                <w:sz w:val="24"/>
                <w:szCs w:val="24"/>
              </w:rPr>
              <w:tab/>
            </w:r>
          </w:p>
        </w:tc>
        <w:tc>
          <w:tcPr>
            <w:tcW w:w="20" w:type="dxa"/>
          </w:tcPr>
          <w:p w:rsidR="00A4396D" w:rsidRDefault="00A4396D">
            <w:pPr>
              <w:pStyle w:val="TableParagraph"/>
              <w:ind w:left="-1625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815" w:type="dxa"/>
            <w:hideMark/>
          </w:tcPr>
          <w:p w:rsidR="00A4396D" w:rsidRDefault="00A4396D">
            <w:pPr>
              <w:pStyle w:val="TableParagraph"/>
              <w:spacing w:before="34"/>
              <w:ind w:left="-1388" w:right="643"/>
              <w:rPr>
                <w:rFonts w:ascii="Rubik Light" w:hAnsi="Rubik Light" w:cs="Rubik Light"/>
                <w:sz w:val="24"/>
                <w:szCs w:val="24"/>
              </w:rPr>
            </w:pPr>
            <w:r>
              <w:rPr>
                <w:rFonts w:ascii="Rubik Light" w:hAnsi="Rubik Light" w:cs="Rubik Light"/>
                <w:sz w:val="24"/>
                <w:szCs w:val="24"/>
              </w:rPr>
              <w:t>R$</w:t>
            </w:r>
          </w:p>
        </w:tc>
        <w:tc>
          <w:tcPr>
            <w:tcW w:w="1528" w:type="dxa"/>
            <w:hideMark/>
          </w:tcPr>
          <w:p w:rsidR="00A4396D" w:rsidRDefault="00A4396D">
            <w:pPr>
              <w:pStyle w:val="TableParagraph"/>
              <w:spacing w:before="70"/>
              <w:ind w:left="-410" w:right="42"/>
              <w:jc w:val="right"/>
              <w:rPr>
                <w:rFonts w:ascii="Rubik Light" w:hAnsi="Rubik Light" w:cs="Rubik Light"/>
                <w:sz w:val="24"/>
                <w:szCs w:val="24"/>
              </w:rPr>
            </w:pPr>
            <w:r>
              <w:rPr>
                <w:rFonts w:ascii="Rubik Light" w:hAnsi="Rubik Light" w:cs="Rubik Light"/>
                <w:w w:val="95"/>
                <w:sz w:val="24"/>
                <w:szCs w:val="24"/>
              </w:rPr>
              <w:t>R$ 52.492,81</w:t>
            </w:r>
          </w:p>
        </w:tc>
      </w:tr>
      <w:tr w:rsidR="00A4396D" w:rsidTr="00A4396D">
        <w:trPr>
          <w:trHeight w:val="312"/>
        </w:trPr>
        <w:tc>
          <w:tcPr>
            <w:tcW w:w="6946" w:type="dxa"/>
            <w:gridSpan w:val="2"/>
            <w:hideMark/>
          </w:tcPr>
          <w:p w:rsidR="00A4396D" w:rsidRDefault="00A4396D">
            <w:pPr>
              <w:pStyle w:val="TableParagraph"/>
              <w:spacing w:before="63" w:line="229" w:lineRule="exact"/>
              <w:rPr>
                <w:rFonts w:ascii="Rubik Light" w:hAnsi="Rubik Light" w:cs="Rubik Light"/>
                <w:b/>
                <w:sz w:val="24"/>
                <w:szCs w:val="24"/>
              </w:rPr>
            </w:pPr>
            <w:r>
              <w:rPr>
                <w:rFonts w:ascii="Rubik Light" w:hAnsi="Rubik Light" w:cs="Rubik Light"/>
                <w:b/>
                <w:sz w:val="24"/>
                <w:szCs w:val="24"/>
              </w:rPr>
              <w:t>TOTAL DA ANULAÇÃO</w:t>
            </w:r>
          </w:p>
        </w:tc>
        <w:tc>
          <w:tcPr>
            <w:tcW w:w="20" w:type="dxa"/>
            <w:hideMark/>
          </w:tcPr>
          <w:p w:rsidR="00A4396D" w:rsidRDefault="00A4396D">
            <w:pPr>
              <w:pStyle w:val="TableParagraph"/>
              <w:spacing w:before="49"/>
              <w:ind w:left="-1341"/>
              <w:rPr>
                <w:rFonts w:ascii="Rubik Light" w:hAnsi="Rubik Light" w:cs="Rubik Light"/>
                <w:b/>
                <w:sz w:val="24"/>
                <w:szCs w:val="24"/>
              </w:rPr>
            </w:pPr>
            <w:r>
              <w:rPr>
                <w:rFonts w:ascii="Rubik Light" w:hAnsi="Rubik Light" w:cs="Rubik Light"/>
                <w:b/>
                <w:w w:val="90"/>
                <w:sz w:val="24"/>
                <w:szCs w:val="24"/>
              </w:rPr>
              <w:t>R$</w:t>
            </w:r>
          </w:p>
        </w:tc>
        <w:tc>
          <w:tcPr>
            <w:tcW w:w="815" w:type="dxa"/>
          </w:tcPr>
          <w:p w:rsidR="00A4396D" w:rsidRDefault="00A4396D">
            <w:pPr>
              <w:pStyle w:val="TableParagraph"/>
              <w:rPr>
                <w:rFonts w:ascii="Rubik Light" w:hAnsi="Rubik Light" w:cs="Rubik Light"/>
                <w:sz w:val="24"/>
                <w:szCs w:val="24"/>
              </w:rPr>
            </w:pPr>
          </w:p>
        </w:tc>
        <w:tc>
          <w:tcPr>
            <w:tcW w:w="1528" w:type="dxa"/>
            <w:hideMark/>
          </w:tcPr>
          <w:p w:rsidR="00A4396D" w:rsidRDefault="00A4396D">
            <w:pPr>
              <w:pStyle w:val="TableParagraph"/>
              <w:spacing w:before="70" w:line="221" w:lineRule="exact"/>
              <w:ind w:right="44"/>
              <w:jc w:val="right"/>
              <w:rPr>
                <w:rFonts w:ascii="Rubik Light" w:hAnsi="Rubik Light" w:cs="Rubik Light"/>
                <w:b/>
                <w:sz w:val="24"/>
                <w:szCs w:val="24"/>
              </w:rPr>
            </w:pPr>
            <w:r>
              <w:rPr>
                <w:rFonts w:ascii="Rubik Light" w:hAnsi="Rubik Light" w:cs="Rubik Light"/>
                <w:b/>
                <w:w w:val="85"/>
                <w:sz w:val="24"/>
                <w:szCs w:val="24"/>
              </w:rPr>
              <w:t>R$ 52.492,81</w:t>
            </w:r>
          </w:p>
        </w:tc>
      </w:tr>
    </w:tbl>
    <w:p w:rsidR="00A4396D" w:rsidRDefault="00A4396D" w:rsidP="00A4396D">
      <w:pPr>
        <w:pStyle w:val="Corpodetexto"/>
        <w:spacing w:before="4"/>
        <w:rPr>
          <w:rFonts w:ascii="Rubik Light" w:hAnsi="Rubik Light" w:cs="Rubik Light"/>
        </w:rPr>
      </w:pPr>
    </w:p>
    <w:p w:rsidR="00A4396D" w:rsidRDefault="00A4396D" w:rsidP="00A4396D">
      <w:pPr>
        <w:pStyle w:val="Corpodetexto"/>
        <w:spacing w:before="172" w:line="312" w:lineRule="auto"/>
        <w:ind w:left="169" w:right="111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b/>
        </w:rPr>
        <w:t xml:space="preserve">Art. 3º. </w:t>
      </w:r>
      <w:r>
        <w:rPr>
          <w:rFonts w:ascii="Rubik Light" w:hAnsi="Rubik Light" w:cs="Rubik Light"/>
        </w:rPr>
        <w:t xml:space="preserve"> As alterações constantes desta Lei passam a integrar a Lei Municipal nº 1.901, de 21 de dezembro de 2017, que dispõe sobre o Plano </w:t>
      </w:r>
      <w:r>
        <w:rPr>
          <w:rFonts w:ascii="Rubik Light" w:hAnsi="Rubik Light" w:cs="Rubik Light"/>
        </w:rPr>
        <w:lastRenderedPageBreak/>
        <w:t>Plurianual para o período de 2018 a 2021, a Lei Municipal nº 1.949, de 03 de outubro de 2018, que dispõe sobre as Diretrizes Orçamentárias para o exercício financeiro de 2019 –LDO, e a Lei Municipal nº 1.974, de 26 de dezembro de 2018, que dispõe sobre a Lei Orçamentária Anual para o exercício financeiro de 2019 –LOA.</w:t>
      </w:r>
    </w:p>
    <w:p w:rsidR="00A4396D" w:rsidRDefault="00A4396D" w:rsidP="00A4396D">
      <w:pPr>
        <w:pStyle w:val="Corpodetexto"/>
        <w:rPr>
          <w:rFonts w:ascii="Rubik Light" w:hAnsi="Rubik Light" w:cs="Rubik Light"/>
        </w:rPr>
      </w:pPr>
    </w:p>
    <w:p w:rsidR="00A4396D" w:rsidRDefault="00A4396D" w:rsidP="00A4396D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Art. 4º</w:t>
      </w:r>
      <w:r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 xml:space="preserve">.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Esta Lei entra em vigor na data de sua publicação.</w:t>
      </w:r>
    </w:p>
    <w:p w:rsidR="00A4396D" w:rsidRDefault="00A4396D" w:rsidP="00A4396D">
      <w:pPr>
        <w:ind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A4396D" w:rsidRDefault="00A4396D" w:rsidP="00A4396D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Art. 5º</w:t>
      </w:r>
      <w:r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>.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 Revogam-se as disposições em contrário.</w:t>
      </w:r>
    </w:p>
    <w:p w:rsidR="00A4396D" w:rsidRDefault="00A4396D" w:rsidP="00A4396D">
      <w:pPr>
        <w:ind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A4396D" w:rsidRDefault="00A4396D" w:rsidP="00A4396D">
      <w:pPr>
        <w:pStyle w:val="Corpodetexto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>Gabinete do Prefeito Municipal de Campo Novo do Parecis, aos 30 dias do mês de janeiro de 2019.</w:t>
      </w:r>
    </w:p>
    <w:p w:rsidR="00A4396D" w:rsidRDefault="00A4396D" w:rsidP="00A4396D">
      <w:pPr>
        <w:ind w:right="-51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A4396D" w:rsidRDefault="00A4396D" w:rsidP="00A4396D">
      <w:pPr>
        <w:ind w:right="-51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A4396D" w:rsidRDefault="00A4396D" w:rsidP="00A4396D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RAFAEL MACHADO</w:t>
      </w:r>
    </w:p>
    <w:p w:rsidR="00A4396D" w:rsidRDefault="00A4396D" w:rsidP="00A4396D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Prefeito Municipal</w:t>
      </w:r>
    </w:p>
    <w:p w:rsidR="00A4396D" w:rsidRDefault="00A4396D" w:rsidP="00A4396D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A4396D" w:rsidRDefault="00A4396D" w:rsidP="00A4396D">
      <w:pPr>
        <w:ind w:right="-5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A4396D" w:rsidRDefault="00A4396D" w:rsidP="00A4396D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A4396D" w:rsidRDefault="00A4396D" w:rsidP="00A4396D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A4396D" w:rsidRDefault="00A4396D" w:rsidP="00A4396D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GIRLEI AUGUSTO PEZ BOLZAN</w:t>
      </w:r>
    </w:p>
    <w:p w:rsidR="00A4396D" w:rsidRDefault="00A4396D" w:rsidP="00A4396D">
      <w:pPr>
        <w:ind w:right="-51"/>
        <w:jc w:val="center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Secretário Municipal de Administração</w:t>
      </w:r>
    </w:p>
    <w:p w:rsidR="00A4396D" w:rsidRDefault="00A4396D" w:rsidP="00A4396D">
      <w:pPr>
        <w:pStyle w:val="Corpodetexto"/>
        <w:rPr>
          <w:rFonts w:ascii="Rubik Light" w:hAnsi="Rubik Light" w:cs="Rubik Light"/>
        </w:rPr>
      </w:pPr>
    </w:p>
    <w:p w:rsidR="004D4398" w:rsidRPr="00A4396D" w:rsidRDefault="004D4398" w:rsidP="00A4396D"/>
    <w:sectPr w:rsidR="004D4398" w:rsidRPr="00A4396D" w:rsidSect="00502AF7">
      <w:footerReference w:type="default" r:id="rId6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49C" w:rsidRDefault="006B649C" w:rsidP="00502AF7">
      <w:r>
        <w:separator/>
      </w:r>
    </w:p>
  </w:endnote>
  <w:endnote w:type="continuationSeparator" w:id="1">
    <w:p w:rsidR="006B649C" w:rsidRDefault="006B649C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6B649C" w:rsidP="004A45C3">
    <w:pPr>
      <w:pStyle w:val="Rodap"/>
    </w:pPr>
  </w:p>
  <w:p w:rsidR="009F196D" w:rsidRPr="003D3AA8" w:rsidRDefault="006B649C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49C" w:rsidRDefault="006B649C" w:rsidP="00502AF7">
      <w:r>
        <w:separator/>
      </w:r>
    </w:p>
  </w:footnote>
  <w:footnote w:type="continuationSeparator" w:id="1">
    <w:p w:rsidR="006B649C" w:rsidRDefault="006B649C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342E05"/>
    <w:rsid w:val="004D4398"/>
    <w:rsid w:val="00502AF7"/>
    <w:rsid w:val="006B649C"/>
    <w:rsid w:val="00A4396D"/>
    <w:rsid w:val="00A906D8"/>
    <w:rsid w:val="00AB5A74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4396D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4396D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4396D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4396D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A4396D"/>
    <w:pPr>
      <w:widowControl w:val="0"/>
      <w:autoSpaceDE w:val="0"/>
      <w:autoSpaceDN w:val="0"/>
    </w:pPr>
    <w:rPr>
      <w:rFonts w:ascii="Tahoma" w:eastAsia="Tahoma" w:hAnsi="Tahoma" w:cs="Tahoma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A4396D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fase">
    <w:name w:val="Emphasis"/>
    <w:basedOn w:val="Fontepargpadro"/>
    <w:uiPriority w:val="20"/>
    <w:qFormat/>
    <w:rsid w:val="00A439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2019-02-05T16:35:00Z</dcterms:created>
  <dcterms:modified xsi:type="dcterms:W3CDTF">2019-02-05T16:35:00Z</dcterms:modified>
</cp:coreProperties>
</file>