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B5" w:rsidRPr="009A6B5C" w:rsidRDefault="00960FB5" w:rsidP="00960FB5">
      <w:pPr>
        <w:spacing w:after="140"/>
        <w:jc w:val="both"/>
        <w:rPr>
          <w:rFonts w:eastAsia="Calibri"/>
          <w:b/>
          <w:bCs/>
          <w:iCs/>
          <w:color w:val="000000" w:themeColor="text1"/>
          <w:sz w:val="26"/>
          <w:szCs w:val="26"/>
        </w:rPr>
      </w:pPr>
      <w:r w:rsidRPr="009A6B5C">
        <w:rPr>
          <w:rFonts w:eastAsia="Calibri"/>
          <w:b/>
          <w:bCs/>
          <w:iCs/>
          <w:color w:val="000000" w:themeColor="text1"/>
          <w:sz w:val="26"/>
          <w:szCs w:val="26"/>
        </w:rPr>
        <w:t>MENSAGEM LEGISLATIVA Nº 023, DE 03 DE ABRIL DE 2019.</w:t>
      </w:r>
    </w:p>
    <w:p w:rsidR="00960FB5" w:rsidRPr="009A6B5C" w:rsidRDefault="00960FB5" w:rsidP="00960FB5">
      <w:pPr>
        <w:jc w:val="both"/>
        <w:rPr>
          <w:rFonts w:eastAsia="Calibri"/>
          <w:bCs/>
          <w:iCs/>
          <w:color w:val="FF0000"/>
          <w:sz w:val="26"/>
          <w:szCs w:val="26"/>
        </w:rPr>
      </w:pPr>
    </w:p>
    <w:p w:rsidR="00960FB5" w:rsidRPr="009A6B5C" w:rsidRDefault="00960FB5" w:rsidP="00960FB5">
      <w:pPr>
        <w:jc w:val="both"/>
        <w:rPr>
          <w:rFonts w:eastAsia="Calibri"/>
          <w:b/>
          <w:color w:val="000000" w:themeColor="text1"/>
          <w:sz w:val="26"/>
          <w:szCs w:val="26"/>
        </w:rPr>
      </w:pPr>
      <w:r w:rsidRPr="009A6B5C">
        <w:rPr>
          <w:rFonts w:eastAsia="Calibri"/>
          <w:b/>
          <w:color w:val="000000" w:themeColor="text1"/>
          <w:sz w:val="26"/>
          <w:szCs w:val="26"/>
        </w:rPr>
        <w:t>Excelentíssimo Senhor</w:t>
      </w:r>
    </w:p>
    <w:p w:rsidR="00960FB5" w:rsidRPr="009A6B5C" w:rsidRDefault="00960FB5" w:rsidP="00960FB5">
      <w:pPr>
        <w:jc w:val="both"/>
        <w:rPr>
          <w:rFonts w:eastAsia="Calibri"/>
          <w:b/>
          <w:color w:val="000000" w:themeColor="text1"/>
          <w:sz w:val="26"/>
          <w:szCs w:val="26"/>
        </w:rPr>
      </w:pPr>
      <w:r w:rsidRPr="009A6B5C">
        <w:rPr>
          <w:rFonts w:eastAsia="Calibri"/>
          <w:b/>
          <w:color w:val="000000" w:themeColor="text1"/>
          <w:sz w:val="26"/>
          <w:szCs w:val="26"/>
        </w:rPr>
        <w:t>Vereador WAGNER TAVARES DA CUNHA</w:t>
      </w:r>
      <w:r w:rsidRPr="009A6B5C">
        <w:rPr>
          <w:color w:val="000000" w:themeColor="text1"/>
          <w:sz w:val="26"/>
          <w:szCs w:val="26"/>
        </w:rPr>
        <w:t xml:space="preserve"> </w:t>
      </w:r>
    </w:p>
    <w:p w:rsidR="00960FB5" w:rsidRPr="009A6B5C" w:rsidRDefault="00960FB5" w:rsidP="00960FB5">
      <w:pPr>
        <w:jc w:val="both"/>
        <w:rPr>
          <w:rFonts w:eastAsia="Calibri"/>
          <w:b/>
          <w:color w:val="000000" w:themeColor="text1"/>
          <w:sz w:val="26"/>
          <w:szCs w:val="26"/>
        </w:rPr>
      </w:pPr>
      <w:r w:rsidRPr="009A6B5C">
        <w:rPr>
          <w:rFonts w:eastAsia="Calibri"/>
          <w:b/>
          <w:color w:val="000000" w:themeColor="text1"/>
          <w:sz w:val="26"/>
          <w:szCs w:val="26"/>
        </w:rPr>
        <w:t>Presidente da Câmara Municipal de Campo Novo do Parecis</w:t>
      </w:r>
    </w:p>
    <w:p w:rsidR="00960FB5" w:rsidRPr="009A6B5C" w:rsidRDefault="00960FB5" w:rsidP="00960FB5">
      <w:pPr>
        <w:jc w:val="both"/>
        <w:rPr>
          <w:rFonts w:eastAsia="Calibri"/>
          <w:b/>
          <w:color w:val="000000" w:themeColor="text1"/>
          <w:sz w:val="26"/>
          <w:szCs w:val="26"/>
        </w:rPr>
      </w:pPr>
      <w:r w:rsidRPr="009A6B5C">
        <w:rPr>
          <w:rFonts w:eastAsia="Calibri"/>
          <w:b/>
          <w:color w:val="000000" w:themeColor="text1"/>
          <w:sz w:val="26"/>
          <w:szCs w:val="26"/>
        </w:rPr>
        <w:t>Exmos. Srs. Vereadores da Câmara Municipal de Campo Novo do Parecis</w:t>
      </w:r>
    </w:p>
    <w:p w:rsidR="00960FB5" w:rsidRPr="009A6B5C" w:rsidRDefault="00960FB5" w:rsidP="00960FB5">
      <w:pPr>
        <w:tabs>
          <w:tab w:val="left" w:pos="-360"/>
        </w:tabs>
        <w:spacing w:line="360" w:lineRule="auto"/>
        <w:jc w:val="both"/>
        <w:rPr>
          <w:rFonts w:eastAsia="Calibri" w:cs="Rubik Light"/>
          <w:color w:val="FF0000"/>
          <w:sz w:val="26"/>
          <w:szCs w:val="26"/>
        </w:rPr>
      </w:pPr>
    </w:p>
    <w:p w:rsidR="00960FB5" w:rsidRPr="009A6B5C" w:rsidRDefault="00960FB5" w:rsidP="00960FB5">
      <w:pPr>
        <w:tabs>
          <w:tab w:val="left" w:pos="-360"/>
        </w:tabs>
        <w:spacing w:line="360" w:lineRule="auto"/>
        <w:ind w:firstLine="1701"/>
        <w:jc w:val="both"/>
        <w:rPr>
          <w:rFonts w:eastAsia="Calibri" w:cs="Rubik Light"/>
          <w:color w:val="000000" w:themeColor="text1"/>
          <w:sz w:val="26"/>
          <w:szCs w:val="26"/>
        </w:rPr>
      </w:pPr>
      <w:r w:rsidRPr="009A6B5C">
        <w:rPr>
          <w:rFonts w:eastAsia="Calibri" w:cs="Rubik Light"/>
          <w:color w:val="000000" w:themeColor="text1"/>
          <w:sz w:val="26"/>
          <w:szCs w:val="26"/>
        </w:rPr>
        <w:t>Dirijo-me a Vossas Excelências, com a finalidade de encaminhar o Projeto de Lei nº 022/2019, que regulamenta a Política de Habitação e de Interesse Social deste município, assim como disposições sobre seu Fundo Municipal de Habitação, e conselhos Gestor e Municipal.</w:t>
      </w:r>
    </w:p>
    <w:p w:rsidR="00960FB5" w:rsidRPr="009A6B5C" w:rsidRDefault="00960FB5" w:rsidP="00960FB5">
      <w:pPr>
        <w:tabs>
          <w:tab w:val="left" w:pos="-360"/>
        </w:tabs>
        <w:spacing w:line="360" w:lineRule="auto"/>
        <w:ind w:firstLine="1701"/>
        <w:jc w:val="both"/>
        <w:rPr>
          <w:rFonts w:eastAsia="Calibri" w:cs="Rubik Light"/>
          <w:color w:val="000000" w:themeColor="text1"/>
          <w:sz w:val="26"/>
          <w:szCs w:val="26"/>
        </w:rPr>
      </w:pPr>
      <w:r w:rsidRPr="009A6B5C">
        <w:rPr>
          <w:rFonts w:eastAsia="Calibri" w:cs="Rubik Light"/>
          <w:color w:val="000000" w:themeColor="text1"/>
          <w:sz w:val="26"/>
          <w:szCs w:val="26"/>
        </w:rPr>
        <w:t xml:space="preserve">Foi necessária uma realocação das disposições, uma vez que as leis eram vagas e não dispunham sobre uma política concreta. </w:t>
      </w:r>
    </w:p>
    <w:p w:rsidR="00960FB5" w:rsidRPr="009A6B5C" w:rsidRDefault="00960FB5" w:rsidP="00960FB5">
      <w:pPr>
        <w:tabs>
          <w:tab w:val="left" w:pos="-360"/>
        </w:tabs>
        <w:spacing w:line="360" w:lineRule="auto"/>
        <w:ind w:firstLine="1701"/>
        <w:jc w:val="both"/>
        <w:rPr>
          <w:rFonts w:eastAsia="Calibri" w:cs="Arial"/>
          <w:color w:val="000000" w:themeColor="text1"/>
          <w:sz w:val="26"/>
          <w:szCs w:val="26"/>
        </w:rPr>
      </w:pPr>
      <w:r w:rsidRPr="009A6B5C">
        <w:rPr>
          <w:rFonts w:eastAsia="Calibri" w:cs="Arial"/>
          <w:color w:val="000000" w:themeColor="text1"/>
          <w:sz w:val="26"/>
          <w:szCs w:val="26"/>
        </w:rPr>
        <w:t>Ademais, é oportuno ressaltar que se objetivou a regularização destas matérias, para que as obras de habitação deste Município possam ser concretizadas dentro da estrita legalidade, e respeitando normas federais sobre o assunto.</w:t>
      </w:r>
    </w:p>
    <w:p w:rsidR="00960FB5" w:rsidRPr="009A6B5C" w:rsidRDefault="00960FB5" w:rsidP="00960FB5">
      <w:pPr>
        <w:tabs>
          <w:tab w:val="left" w:pos="-360"/>
        </w:tabs>
        <w:spacing w:line="360" w:lineRule="auto"/>
        <w:ind w:firstLine="1701"/>
        <w:jc w:val="both"/>
        <w:rPr>
          <w:rFonts w:eastAsia="Calibri" w:cs="Arial"/>
          <w:color w:val="000000" w:themeColor="text1"/>
          <w:sz w:val="26"/>
          <w:szCs w:val="26"/>
        </w:rPr>
      </w:pPr>
      <w:r w:rsidRPr="009A6B5C">
        <w:rPr>
          <w:rFonts w:eastAsia="Calibri" w:cs="Arial"/>
          <w:color w:val="000000" w:themeColor="text1"/>
          <w:sz w:val="26"/>
          <w:szCs w:val="26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960FB5" w:rsidRPr="009A6B5C" w:rsidRDefault="00960FB5" w:rsidP="00960FB5">
      <w:pPr>
        <w:tabs>
          <w:tab w:val="left" w:pos="-360"/>
        </w:tabs>
        <w:spacing w:line="360" w:lineRule="auto"/>
        <w:ind w:firstLine="1701"/>
        <w:jc w:val="both"/>
        <w:rPr>
          <w:rFonts w:eastAsia="Calibri" w:cs="Arial"/>
          <w:color w:val="000000" w:themeColor="text1"/>
          <w:sz w:val="26"/>
          <w:szCs w:val="26"/>
        </w:rPr>
      </w:pPr>
      <w:r w:rsidRPr="009A6B5C">
        <w:rPr>
          <w:rFonts w:eastAsia="Calibri" w:cs="Arial"/>
          <w:color w:val="000000" w:themeColor="text1"/>
          <w:sz w:val="26"/>
          <w:szCs w:val="26"/>
        </w:rPr>
        <w:t>Atenciosamente,</w:t>
      </w:r>
    </w:p>
    <w:p w:rsidR="00960FB5" w:rsidRPr="009A6B5C" w:rsidRDefault="00960FB5" w:rsidP="00960FB5">
      <w:pPr>
        <w:tabs>
          <w:tab w:val="left" w:pos="-360"/>
        </w:tabs>
        <w:spacing w:line="360" w:lineRule="auto"/>
        <w:ind w:firstLine="1701"/>
        <w:jc w:val="both"/>
        <w:rPr>
          <w:rFonts w:eastAsia="Calibri"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-360"/>
        </w:tabs>
        <w:spacing w:line="360" w:lineRule="auto"/>
        <w:ind w:firstLine="1701"/>
        <w:jc w:val="center"/>
        <w:rPr>
          <w:rFonts w:eastAsia="Calibri"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-360"/>
        </w:tabs>
        <w:jc w:val="center"/>
        <w:rPr>
          <w:rFonts w:cs="Arial"/>
          <w:b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RAFAEL MACHADO</w:t>
      </w:r>
    </w:p>
    <w:p w:rsidR="00960FB5" w:rsidRPr="009A6B5C" w:rsidRDefault="00960FB5" w:rsidP="00960FB5">
      <w:pPr>
        <w:tabs>
          <w:tab w:val="left" w:pos="-360"/>
        </w:tabs>
        <w:jc w:val="center"/>
        <w:rPr>
          <w:rFonts w:eastAsia="Calibri" w:cs="Arial"/>
          <w:color w:val="FF0000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Prefeito Municipal</w:t>
      </w:r>
      <w:r w:rsidRPr="009A6B5C">
        <w:rPr>
          <w:rFonts w:cs="Arial"/>
          <w:bCs/>
          <w:color w:val="FF0000"/>
          <w:sz w:val="26"/>
          <w:szCs w:val="26"/>
        </w:rPr>
        <w:br w:type="page"/>
      </w:r>
    </w:p>
    <w:p w:rsidR="00960FB5" w:rsidRPr="009A6B5C" w:rsidRDefault="00960FB5" w:rsidP="00960FB5">
      <w:pPr>
        <w:spacing w:line="276" w:lineRule="auto"/>
        <w:jc w:val="both"/>
        <w:rPr>
          <w:rFonts w:cs="Arial"/>
          <w:b/>
          <w:bCs/>
          <w:sz w:val="26"/>
          <w:szCs w:val="26"/>
        </w:rPr>
      </w:pPr>
      <w:r w:rsidRPr="009A6B5C">
        <w:rPr>
          <w:rFonts w:cs="Arial"/>
          <w:b/>
          <w:bCs/>
          <w:sz w:val="26"/>
          <w:szCs w:val="26"/>
        </w:rPr>
        <w:lastRenderedPageBreak/>
        <w:t>PROJETO DE LEI Nº 022/2019</w:t>
      </w:r>
      <w:r w:rsidRPr="009A6B5C">
        <w:rPr>
          <w:rFonts w:cs="Arial"/>
          <w:b/>
          <w:bCs/>
          <w:sz w:val="26"/>
          <w:szCs w:val="26"/>
        </w:rPr>
        <w:tab/>
      </w:r>
      <w:r w:rsidRPr="009A6B5C">
        <w:rPr>
          <w:rFonts w:cs="Arial"/>
          <w:b/>
          <w:bCs/>
          <w:sz w:val="26"/>
          <w:szCs w:val="26"/>
        </w:rPr>
        <w:tab/>
      </w:r>
      <w:r w:rsidRPr="009A6B5C">
        <w:rPr>
          <w:rFonts w:cs="Arial"/>
          <w:b/>
          <w:bCs/>
          <w:sz w:val="26"/>
          <w:szCs w:val="26"/>
        </w:rPr>
        <w:tab/>
        <w:t xml:space="preserve">       03 de Abril de 2019.</w:t>
      </w:r>
    </w:p>
    <w:p w:rsidR="00960FB5" w:rsidRPr="009A6B5C" w:rsidRDefault="00960FB5" w:rsidP="00960FB5">
      <w:pPr>
        <w:spacing w:line="276" w:lineRule="auto"/>
        <w:jc w:val="right"/>
        <w:rPr>
          <w:rFonts w:cs="Arial"/>
          <w:bCs/>
          <w:sz w:val="26"/>
          <w:szCs w:val="26"/>
        </w:rPr>
      </w:pPr>
      <w:r w:rsidRPr="009A6B5C">
        <w:rPr>
          <w:rFonts w:cs="Arial"/>
          <w:b/>
          <w:bCs/>
          <w:sz w:val="26"/>
          <w:szCs w:val="26"/>
        </w:rPr>
        <w:tab/>
      </w:r>
      <w:r w:rsidRPr="009A6B5C">
        <w:rPr>
          <w:rFonts w:cs="Arial"/>
          <w:bCs/>
          <w:sz w:val="26"/>
          <w:szCs w:val="26"/>
        </w:rPr>
        <w:t>Autoria: Poder Executivo Municipal</w:t>
      </w:r>
    </w:p>
    <w:p w:rsidR="00960FB5" w:rsidRPr="009A6B5C" w:rsidRDefault="00960FB5" w:rsidP="00960FB5">
      <w:pPr>
        <w:spacing w:line="276" w:lineRule="auto"/>
        <w:jc w:val="both"/>
        <w:rPr>
          <w:rFonts w:cs="Arial"/>
          <w:b/>
          <w:bCs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both"/>
        <w:rPr>
          <w:rFonts w:cs="Arial"/>
          <w:b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left="2835"/>
        <w:jc w:val="both"/>
        <w:rPr>
          <w:rFonts w:cs="Arial"/>
          <w:b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DISPÕE SOBRE A POLÍTICA MUNICIPAL DE HABITAÇÃO, REGULAMENTA O FUNDO MUNICIPAL DE HABITAÇÃO E SEU CONSELHO GESTOR, E CRIA O CONSELHO MUNICIPAL DE HABITAÇÃO.</w:t>
      </w:r>
    </w:p>
    <w:p w:rsidR="00960FB5" w:rsidRPr="009A6B5C" w:rsidRDefault="00960FB5" w:rsidP="00960FB5">
      <w:pPr>
        <w:spacing w:line="276" w:lineRule="auto"/>
        <w:ind w:left="2835"/>
        <w:jc w:val="both"/>
        <w:rPr>
          <w:rFonts w:cs="Arial"/>
          <w:b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left="3545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  <w:r w:rsidRPr="009A6B5C">
        <w:rPr>
          <w:rFonts w:cs="Arial"/>
          <w:b/>
          <w:bCs/>
          <w:sz w:val="26"/>
          <w:szCs w:val="26"/>
        </w:rPr>
        <w:t>RAFAEL MACHADO</w:t>
      </w:r>
      <w:r w:rsidRPr="009A6B5C">
        <w:rPr>
          <w:rFonts w:cs="Arial"/>
          <w:bCs/>
          <w:sz w:val="26"/>
          <w:szCs w:val="26"/>
        </w:rPr>
        <w:t>, Prefeito Municipal de Campo Novo do Parecis, Estado de Mato Grosso, faz saber que a Câmara Municipal aprovou e eu sanciono a seguinte Lei: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  <w:r w:rsidRPr="009A6B5C">
        <w:rPr>
          <w:rFonts w:cs="Arial"/>
          <w:b/>
          <w:bCs/>
          <w:sz w:val="26"/>
          <w:szCs w:val="26"/>
        </w:rPr>
        <w:t>Art. 1º.</w:t>
      </w:r>
      <w:r w:rsidRPr="009A6B5C">
        <w:rPr>
          <w:rFonts w:cs="Arial"/>
          <w:bCs/>
          <w:sz w:val="26"/>
          <w:szCs w:val="26"/>
        </w:rPr>
        <w:t xml:space="preserve"> Esta Lei dispõe sobre a Política Municipal de Habitação de Interesse Social – PMHIS, regula o Fundo Municipal de Habitação e de Interesse Social – FMHIS, regulamenta o Conselho Gestor do FMHIS, e cria a Conselho Municipal de Habitação - CMH.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sz w:val="26"/>
          <w:szCs w:val="26"/>
        </w:rPr>
      </w:pPr>
      <w:r w:rsidRPr="009A6B5C">
        <w:rPr>
          <w:rFonts w:cs="Arial"/>
          <w:b/>
          <w:bCs/>
          <w:sz w:val="26"/>
          <w:szCs w:val="26"/>
        </w:rPr>
        <w:t>CAPÍTULO 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sz w:val="26"/>
          <w:szCs w:val="26"/>
        </w:rPr>
      </w:pPr>
      <w:r w:rsidRPr="009A6B5C">
        <w:rPr>
          <w:rFonts w:cs="Arial"/>
          <w:b/>
          <w:bCs/>
          <w:sz w:val="26"/>
          <w:szCs w:val="26"/>
        </w:rPr>
        <w:t>DA POLÍTICA MUNICIPAL DE HABITAÇÃO E DE INTERESSE SOCIAL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Seção 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Objetivos, Princípios e Diretrizes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Art. 2º.</w:t>
      </w:r>
      <w:r w:rsidRPr="009A6B5C">
        <w:rPr>
          <w:rFonts w:cs="Arial"/>
          <w:bCs/>
          <w:color w:val="000000" w:themeColor="text1"/>
          <w:sz w:val="26"/>
          <w:szCs w:val="26"/>
        </w:rPr>
        <w:t xml:space="preserve"> Fica instituída a Política Municipal de Habitação e de Interesse Social – PMHIS, que se regerá pelas disposições desta Lei, seus futuros regulamentos próprios, e pelas normas administrativas deles decorrentes, e tem por finalidade: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 – viabilizar para a população de menor renda o acesso à terra urbanizada e à habitação digna e sustentável;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II – implementar políticas e programas de investimentos e subsídios, promovendo e viabilizando o acesso à habitação voltada à população de menor renda; e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III – articular, compatibilizar, acompanhar e apoiar a atuação das instituições e órgãos que desempenham funções no setor da habitação.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Art. 3º.</w:t>
      </w:r>
      <w:r w:rsidRPr="009A6B5C">
        <w:rPr>
          <w:rFonts w:cs="Arial"/>
          <w:bCs/>
          <w:color w:val="000000" w:themeColor="text1"/>
          <w:sz w:val="26"/>
          <w:szCs w:val="26"/>
        </w:rPr>
        <w:t xml:space="preserve"> A PMHIS centralizará e será responsável por gerir todos os programas e projetos destinados à habitação de interesse social.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lastRenderedPageBreak/>
        <w:t>Art. 4º.</w:t>
      </w:r>
      <w:r w:rsidRPr="009A6B5C">
        <w:rPr>
          <w:rFonts w:cs="Arial"/>
          <w:bCs/>
          <w:color w:val="000000" w:themeColor="text1"/>
          <w:sz w:val="26"/>
          <w:szCs w:val="26"/>
        </w:rPr>
        <w:t xml:space="preserve"> A estruturação, a organização e a atuação da PMHIS deve observar: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 – os seguintes princípios: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a) compatibilidade e integração das políticas habitacionais federal e estadual, bem como das demais políticas setoriais de desenvolvimento urbano, ambientais e de inclusão social;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b) moradia digna como direito e vetor de inclusão social;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c) democratização, descentralização, controle social e transparência dos procedimentos decisórios;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d) função social da propriedade urbana visando a garantir atuação direcionada a coibir a especulação imobiliária e permitir o acesso à terra urbana e ao pleno desenvolvimento das funções sociais da cidade e da propriedade;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II – as seguintes diretrizes: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a) prioridade para planos, programas e projetos habitacionais para a população de menor renda;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b) estabelecer mecanismos de quotas para idosos, deficientes e famílias chefiadas por mulheres dentre o grupo identificado como o de menor renda da alínea "a" deste inciso.</w:t>
      </w:r>
    </w:p>
    <w:p w:rsidR="00960FB5" w:rsidRPr="009A6B5C" w:rsidRDefault="00960FB5" w:rsidP="00960FB5">
      <w:pPr>
        <w:tabs>
          <w:tab w:val="left" w:pos="1701"/>
        </w:tabs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Seção II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Da Composição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Art. 5º.</w:t>
      </w:r>
      <w:r w:rsidRPr="009A6B5C">
        <w:rPr>
          <w:rFonts w:cs="Arial"/>
          <w:bCs/>
          <w:color w:val="000000" w:themeColor="text1"/>
          <w:sz w:val="26"/>
          <w:szCs w:val="26"/>
        </w:rPr>
        <w:t xml:space="preserve"> Integram e coordenam a Política Municipal de Habitação e Interesse Social – PMHIS os seguintes órgãos: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 – A Secretaria Municipal de Assistência Social;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II – A Secretaria Municipal de Desenvolvimento Econômico;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 xml:space="preserve">III – A Secretaria Municipal de Finanças; 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IV – O Conselho Gestor da PMHIS;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V – O Conselho Municipal da PMHIS.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Parágrafo único: Cabe aos integrantes da Política Municipal de Habitação definirem o Plano Municipal de Habitação e instituírem os programas de habitação que dele farão parte, conforme o interesse público.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lastRenderedPageBreak/>
        <w:t>Art. 6</w:t>
      </w:r>
      <w:r w:rsidRPr="009A6B5C">
        <w:rPr>
          <w:rFonts w:cs="Arial"/>
          <w:b/>
          <w:bCs/>
          <w:color w:val="000000" w:themeColor="text1"/>
          <w:sz w:val="26"/>
          <w:szCs w:val="26"/>
          <w:u w:val="single"/>
          <w:vertAlign w:val="superscript"/>
        </w:rPr>
        <w:t>o</w:t>
      </w:r>
      <w:r w:rsidRPr="009A6B5C">
        <w:rPr>
          <w:rFonts w:cs="Arial"/>
          <w:b/>
          <w:bCs/>
          <w:color w:val="000000" w:themeColor="text1"/>
          <w:sz w:val="26"/>
          <w:szCs w:val="26"/>
        </w:rPr>
        <w:t>.</w:t>
      </w:r>
      <w:r w:rsidRPr="009A6B5C">
        <w:rPr>
          <w:rFonts w:cs="Arial"/>
          <w:bCs/>
          <w:color w:val="000000" w:themeColor="text1"/>
          <w:sz w:val="26"/>
          <w:szCs w:val="26"/>
        </w:rPr>
        <w:t xml:space="preserve"> Os recursos para aplicação nos programas da Política Municipal de Habitação e de Interesse Social serão provenientes do Fundo Municipal de Habitação, ou outros fundos ou programas que por ventura sejam à este incorporados.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Seção III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Dos Requisitos para Integrar os Programas Sociais abarcados pela PMHIS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Art. 7º</w:t>
      </w:r>
      <w:r w:rsidRPr="009A6B5C">
        <w:rPr>
          <w:rFonts w:cs="Arial"/>
          <w:bCs/>
          <w:color w:val="000000" w:themeColor="text1"/>
          <w:sz w:val="26"/>
          <w:szCs w:val="26"/>
        </w:rPr>
        <w:t>. Para integrar qualquer programa oferecido pela Política Municipal de Habitação e de Interesse Social, o candidato deverá preencher os seguintes requisitos: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 - residir no Município de Campo Novo do Parecis/MT pelo período mínimo de 2 (dois) anos;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II - ser maior de idade, em pleno gozo de seus direitos civis;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III - ter renda familiar mínima entre 1 (um) e 3 (três) salários mínimos, à época do cadastro, e segundo os requisitos do programa que pleiteia;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IV - não possuir bens imóveis em seu nome, do cônjuge, ou companheiro (a);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V - não ter débitos junto a Fazenda Municipal.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/>
          <w:bCs/>
          <w:color w:val="000000" w:themeColor="text1"/>
          <w:sz w:val="26"/>
          <w:szCs w:val="26"/>
        </w:rPr>
        <w:t>Art. 8º</w:t>
      </w:r>
      <w:r w:rsidRPr="009A6B5C">
        <w:rPr>
          <w:rFonts w:cs="Arial"/>
          <w:bCs/>
          <w:color w:val="000000" w:themeColor="text1"/>
          <w:sz w:val="26"/>
          <w:szCs w:val="26"/>
        </w:rPr>
        <w:t xml:space="preserve"> Terão prioridade nos programas integrantes da PMHIS, aqueles cadastrado com as seguintes características, nesta ordem: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 – Vulnerabilidade Social;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II – Menor renda per capita familiar;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III – Maior risco social;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IV – Maior média de idade entre os possuidores de renda;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V – Sorteio.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 xml:space="preserve">§ 1º Serão considerados vulneráveis, aqueles indivíduos que se encontram em situação de vulnerabilidade social, sendo à eles, além da prioridade do </w:t>
      </w:r>
      <w:r w:rsidRPr="009A6B5C">
        <w:rPr>
          <w:rFonts w:cs="Arial"/>
          <w:bCs/>
          <w:i/>
          <w:color w:val="000000" w:themeColor="text1"/>
          <w:sz w:val="26"/>
          <w:szCs w:val="26"/>
        </w:rPr>
        <w:t>caput</w:t>
      </w:r>
      <w:r w:rsidRPr="009A6B5C">
        <w:rPr>
          <w:rFonts w:cs="Arial"/>
          <w:bCs/>
          <w:color w:val="000000" w:themeColor="text1"/>
          <w:sz w:val="26"/>
          <w:szCs w:val="26"/>
        </w:rPr>
        <w:t xml:space="preserve">, ainda reservados: 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color w:val="000000" w:themeColor="text1"/>
          <w:sz w:val="26"/>
          <w:szCs w:val="26"/>
        </w:rPr>
      </w:pPr>
      <w:r w:rsidRPr="009A6B5C">
        <w:rPr>
          <w:rFonts w:asciiTheme="minorHAnsi" w:hAnsiTheme="minorHAnsi" w:cs="Arial"/>
          <w:bCs/>
          <w:color w:val="000000" w:themeColor="text1"/>
          <w:sz w:val="26"/>
          <w:szCs w:val="26"/>
        </w:rPr>
        <w:t xml:space="preserve">6% das vagas, para aqueles vulneráveis </w:t>
      </w:r>
      <w:r w:rsidRPr="009A6B5C">
        <w:rPr>
          <w:rFonts w:asciiTheme="minorHAnsi" w:hAnsiTheme="minorHAnsi" w:cs="Arial"/>
          <w:b/>
          <w:bCs/>
          <w:color w:val="000000" w:themeColor="text1"/>
          <w:sz w:val="26"/>
          <w:szCs w:val="26"/>
        </w:rPr>
        <w:t>idosos</w:t>
      </w:r>
      <w:r w:rsidRPr="009A6B5C">
        <w:rPr>
          <w:rFonts w:asciiTheme="minorHAnsi" w:hAnsiTheme="minorHAnsi" w:cs="Arial"/>
          <w:bCs/>
          <w:color w:val="000000" w:themeColor="text1"/>
          <w:sz w:val="26"/>
          <w:szCs w:val="26"/>
        </w:rPr>
        <w:t>, nos termos do Art. 38, I, da lei 10.741/2003.</w:t>
      </w:r>
    </w:p>
    <w:p w:rsidR="00960FB5" w:rsidRPr="009A6B5C" w:rsidRDefault="00960FB5" w:rsidP="00960FB5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bCs/>
          <w:color w:val="000000" w:themeColor="text1"/>
          <w:sz w:val="26"/>
          <w:szCs w:val="26"/>
        </w:rPr>
      </w:pPr>
      <w:r w:rsidRPr="009A6B5C">
        <w:rPr>
          <w:rFonts w:asciiTheme="minorHAnsi" w:hAnsiTheme="minorHAnsi" w:cs="Arial"/>
          <w:bCs/>
          <w:color w:val="000000" w:themeColor="text1"/>
          <w:sz w:val="26"/>
          <w:szCs w:val="26"/>
        </w:rPr>
        <w:t xml:space="preserve">6% das vagas, para aqueles vulneráveis com </w:t>
      </w:r>
      <w:r w:rsidRPr="009A6B5C">
        <w:rPr>
          <w:rFonts w:asciiTheme="minorHAnsi" w:hAnsiTheme="minorHAnsi" w:cs="Arial"/>
          <w:b/>
          <w:bCs/>
          <w:color w:val="000000" w:themeColor="text1"/>
          <w:sz w:val="26"/>
          <w:szCs w:val="26"/>
        </w:rPr>
        <w:t>deficiência</w:t>
      </w:r>
      <w:r w:rsidRPr="009A6B5C">
        <w:rPr>
          <w:rFonts w:asciiTheme="minorHAnsi" w:hAnsiTheme="minorHAnsi" w:cs="Arial"/>
          <w:bCs/>
          <w:color w:val="000000" w:themeColor="text1"/>
          <w:sz w:val="26"/>
          <w:szCs w:val="26"/>
        </w:rPr>
        <w:t>, nos termos do art. 32, I, da lei 13.146/2015.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lastRenderedPageBreak/>
        <w:t>§ 2º A renda per capita é calculada dividindo a renda total da família pelo numero de membros da família, incluso os possuidores de rendas e dependentes.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§ 3º São considerados dependentes, para as finalidades desta lei: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 - Os idosos com mais de 65 anos, desde que comprovado que não possa se sustentar;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II - os filhos menores de 18 anos;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III - os filhos maiores de 18 anos, desde que com comprovados problemas de saúde;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IV - pessoas com deficiência;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V - pessoas portadoras de doenças contagiosas, desde que comprovado por atestado médico de acordo com o Código Internacional de doenças (CID);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  <w:r w:rsidRPr="009A6B5C">
        <w:rPr>
          <w:rFonts w:cs="Arial"/>
          <w:bCs/>
          <w:color w:val="000000" w:themeColor="text1"/>
          <w:sz w:val="26"/>
          <w:szCs w:val="26"/>
        </w:rPr>
        <w:t>§ 4º Para o cálculo da renda média será aceita declaração de próprio punho, desde que atestado pela Secretaria Municipal de Assistência Social.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Cs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sz w:val="26"/>
          <w:szCs w:val="26"/>
        </w:rPr>
      </w:pPr>
      <w:r w:rsidRPr="009A6B5C">
        <w:rPr>
          <w:rFonts w:cs="Arial"/>
          <w:b/>
          <w:bCs/>
          <w:sz w:val="26"/>
          <w:szCs w:val="26"/>
        </w:rPr>
        <w:t>CAPÍTULO II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sz w:val="26"/>
          <w:szCs w:val="26"/>
        </w:rPr>
      </w:pPr>
      <w:r w:rsidRPr="009A6B5C">
        <w:rPr>
          <w:rFonts w:cs="Arial"/>
          <w:b/>
          <w:bCs/>
          <w:sz w:val="26"/>
          <w:szCs w:val="26"/>
        </w:rPr>
        <w:t xml:space="preserve"> DO FUNDO MUNICIPAL DE HABITAÇÃO E DE INTERESSE SOCIAL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sz w:val="26"/>
          <w:szCs w:val="26"/>
        </w:rPr>
      </w:pPr>
      <w:r w:rsidRPr="009A6B5C">
        <w:rPr>
          <w:rFonts w:cs="Arial"/>
          <w:b/>
          <w:bCs/>
          <w:sz w:val="26"/>
          <w:szCs w:val="26"/>
        </w:rPr>
        <w:t>Seção 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bCs/>
          <w:sz w:val="26"/>
          <w:szCs w:val="26"/>
        </w:rPr>
      </w:pPr>
      <w:r w:rsidRPr="009A6B5C">
        <w:rPr>
          <w:rFonts w:cs="Arial"/>
          <w:b/>
          <w:bCs/>
          <w:sz w:val="26"/>
          <w:szCs w:val="26"/>
        </w:rPr>
        <w:t>Objetivos e Fontes</w:t>
      </w:r>
    </w:p>
    <w:p w:rsidR="00960FB5" w:rsidRPr="009A6B5C" w:rsidRDefault="00960FB5" w:rsidP="00960FB5">
      <w:pPr>
        <w:spacing w:line="276" w:lineRule="auto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Art. 9°.</w:t>
      </w:r>
      <w:r w:rsidRPr="009A6B5C">
        <w:rPr>
          <w:rFonts w:cs="Arial"/>
          <w:sz w:val="26"/>
          <w:szCs w:val="26"/>
        </w:rPr>
        <w:t xml:space="preserve"> O Fundo Municipal de Habitação e de Interesse Social (FMHIS), criado pela lei municipal 1.369 de 29 de Junho de 2010, de natureza contábil, tem por objetivo centralizar e gerenciar recursos orçamentários para os programas integrantes da Política Municipal de Habitação e de Interesse Social, direcionadas à população de menor renda.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  <w:highlight w:val="yellow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Art. 10.</w:t>
      </w:r>
      <w:r w:rsidRPr="009A6B5C">
        <w:rPr>
          <w:rFonts w:cs="Arial"/>
          <w:sz w:val="26"/>
          <w:szCs w:val="26"/>
        </w:rPr>
        <w:t xml:space="preserve"> O FMHIS é constituído por: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 - dotações do Orçamento Geral do município, classificadas na função de habitação;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II - outros fundos ou programas que vierem a ser incorporados ao FMHIS;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lastRenderedPageBreak/>
        <w:t>III - recursos provenientes de empréstimos externos e internos para programas de habitação;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IV - contribuições e doações de pessoas físicas ou jurídicas, entidades e organismos de cooperação nacionais ou internacionais;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V - receitas operacionais e patrimoniais de operações realizadas com recursos do FMHIS; e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VI - outros recursos que lhe vierem a ser destinados.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Seção II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Aplicação dos Recursos do FMHIS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/>
          <w:color w:val="FF0000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Art. 11.</w:t>
      </w:r>
      <w:r w:rsidRPr="009A6B5C">
        <w:rPr>
          <w:rFonts w:cs="Arial"/>
          <w:color w:val="000000" w:themeColor="text1"/>
          <w:sz w:val="26"/>
          <w:szCs w:val="26"/>
        </w:rPr>
        <w:t xml:space="preserve"> As aplicações dos recursos do FMHIS serão destinadas a ações vinculadas à Política de habitação de interesse social que contemplem: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I - aquisição, construção, conclusão, melhoria, reforma, locação social e arrendamento de unidades habitacionais em áreas urbanas e rurais;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II - produção de lotes urbanizados para fins habitacionais;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III - urbanização, produção de equipamentos comunitários, regularização fundiária e urbanística de áreas caracterizadas de interesse social;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IV - implantação de saneamento básico, infraestrutura e equipamentos urbanos, complementares aos programas habitacionais de interesse social;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V - aquisição de materiais para construção, ampliação e reforma de moradias;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VI - recuperação ou produção de imóveis em áreas encortiçadas ou deterioradas, centrais ou periféricas, para fins habitacionais de interesse social;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VII - outros programas e intervenções necessárias na forma aprovada pelo Conselho- Gestor e pelo Conselho Municipal de Habitação.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Parágrafo único. Será admitida a aquisição de terrenos vinculada à implantação de projetos habitacionais.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CAPÍTULO III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DO CONSELHO GESTOR DO FMHIS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A</w:t>
      </w:r>
      <w:r w:rsidRPr="009A6B5C">
        <w:rPr>
          <w:rFonts w:cs="Arial"/>
          <w:b/>
          <w:bCs/>
          <w:iCs/>
          <w:sz w:val="26"/>
          <w:szCs w:val="26"/>
        </w:rPr>
        <w:t>rt. 12.</w:t>
      </w:r>
      <w:r w:rsidRPr="009A6B5C">
        <w:rPr>
          <w:rFonts w:cs="Arial"/>
          <w:sz w:val="26"/>
          <w:szCs w:val="26"/>
        </w:rPr>
        <w:t xml:space="preserve"> O FMHIS será gerido por um Conselho-Gestor.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Art. 13.</w:t>
      </w:r>
      <w:r w:rsidRPr="009A6B5C">
        <w:rPr>
          <w:rFonts w:cs="Arial"/>
          <w:sz w:val="26"/>
          <w:szCs w:val="26"/>
        </w:rPr>
        <w:t xml:space="preserve"> Fica criado o Conselho Gestor do Fundo Municipal de Habitação e Interesse Social, órgão de caráter deliberativo, que terá como </w:t>
      </w:r>
      <w:r w:rsidRPr="009A6B5C">
        <w:rPr>
          <w:rFonts w:cs="Arial"/>
          <w:sz w:val="26"/>
          <w:szCs w:val="26"/>
        </w:rPr>
        <w:lastRenderedPageBreak/>
        <w:t>objetivo a gestão do fundo e apreciação e aprovação do plano de aplicação do FMHIS.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Seção 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Das Competências do Conselho Gestor do FMHIS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 xml:space="preserve">Art. 14. </w:t>
      </w:r>
      <w:r w:rsidRPr="009A6B5C">
        <w:rPr>
          <w:rFonts w:cs="Arial"/>
          <w:sz w:val="26"/>
          <w:szCs w:val="26"/>
        </w:rPr>
        <w:t>Ao Conselho Gestor do Fundo Municipal de Habitação de Interesse Social compete: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 - estabelecer diretrizes e fixar critérios para a priorização de linhas de ação, com a finalidade de determinar a alocação de recursos do FMHIS, observando o disposto nesta Lei, a política e o plano municipal de habitação;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II - aprovar orçamentos e planos de aplicação e metas anuais e plurianuais dos recursos do FMHIS;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III - deliberar sobre as contas do FMHIS;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 xml:space="preserve">IV - prestar contas ao Conselho Municipal de habitação, sobre a gerência de recursos do Fundo Municipal de Habitação. 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§ 1º As diretrizes e critérios previstos no inciso I do caput deste artigo deverão observar ainda as normas emanadas do Conselho Gestor do Fundo Nacional de Habitação de Interesse Social, de que trata a Lei Federal nº 11.124, de 16 de junho de 2005, nos casos em que o FMHIS vier a receber recursos federais.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§ 2º O Conselho Gestor do FMHIS promoverá ampla publicidade das formas e critérios de acesso aos programas, das modalidades de acesso à moradia, das metas anuais de atendimento habitacional, dos recursos previstos e aplicados, identificados pelas fontes de origem, das áreas objeto de intervenção, dos números e valores dos benefícios e dos financiamentos e subsídios concedidos, de modo a permitir o acompanhamento e fiscalização pela sociedade.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§ 3º O Conselho Gestor do FMHIS promoverá audiências públicas e conferências representativas dos segmentos sociais existentes, para debater e avaliar critérios de alocação de recursos e programas habitacionais existentes.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Seção II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lastRenderedPageBreak/>
        <w:t>Da Composição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Art. 15.</w:t>
      </w:r>
      <w:r w:rsidRPr="009A6B5C">
        <w:rPr>
          <w:rFonts w:cs="Arial"/>
          <w:sz w:val="26"/>
          <w:szCs w:val="26"/>
        </w:rPr>
        <w:t xml:space="preserve"> O Conselho Gestor será composto por 6 (seis) conselheiros, de forma paritária: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 - um representante da Secretaria Municipal de Assistência Social, que, na forma do §1º deste artigo, deverá ser a pessoa do Secretário de Assistência Social, que exercerá a função de presidente do Conselho Gestor;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II – um representante da Secretaria Municipal de Finanças;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III – um representante da Secretaria Municipal de Desenvolvimento Econômico;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 xml:space="preserve">IV – um representante de entidades públicas e privadas; 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V – um representante de segmentos da sociedade ligados à área de habitação;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 xml:space="preserve">VI – um representante da sociedade civil. 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§ 1º A Presidência do Conselho-Gestor do FMHIS será exercida pelo Secretário Municipal de Assistência Social, e terá vigência igual ao período do mandato de Secretário.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§ 2º O presidente do Conselho-Gestor do FMHIS exercerá o voto de qualidade.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§ 3º Competirá a Secretaria Municipal de Assistência Social proporcionar ao Conselho Gestor os meios necessários ao exercício de suas competências.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Art. 16.</w:t>
      </w:r>
      <w:r w:rsidRPr="009A6B5C">
        <w:rPr>
          <w:rFonts w:cs="Arial"/>
          <w:sz w:val="26"/>
          <w:szCs w:val="26"/>
        </w:rPr>
        <w:t xml:space="preserve"> Fica vedada a concessão de gratificações ou qualquer tipo de remuneração aos membros do Conselho Gestor do FMHIS.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Capítulo IV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DO CONSELHO MUNICIPAL DE HABITAÇÃO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 xml:space="preserve">Art. 17. </w:t>
      </w:r>
      <w:r w:rsidRPr="009A6B5C">
        <w:rPr>
          <w:rFonts w:cs="Arial"/>
          <w:color w:val="000000" w:themeColor="text1"/>
          <w:sz w:val="26"/>
          <w:szCs w:val="26"/>
        </w:rPr>
        <w:t>Fica criado o Conselho Municipal de Habitação, órgão colegiado de caráter normativo, consultivo e deliberativo, que terá como finalidade assegurar o cumprimento dos programas de habitação deste Município, além de garantir a participação da comunidade na elaboração e implantação de programas da área social de habitação, saneamento básico e urbanismo.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b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Seção 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Das Competências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Art. 18.</w:t>
      </w:r>
      <w:r w:rsidRPr="009A6B5C">
        <w:rPr>
          <w:rFonts w:cs="Arial"/>
          <w:sz w:val="26"/>
          <w:szCs w:val="26"/>
        </w:rPr>
        <w:t xml:space="preserve"> Ao Conselho Municipal de Habitação compete: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 - debater e aprovar as diretrizes, estratégias e instrumentos da Política Municipal de Habitação, propostas pelo Poder Executivo Municipal, estabelecendo suas prioridades;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II - gestionar a articulação e integração das ações, bem como a participação das comunidades organizadas;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III - deliberar sobre o plano municipal de habitação;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IV - emitir pareceres nos processos encaminhados ao Conselho pelo Poder Executivo Municipal, inclusive as reivindicações oriundas do Poder Legislativo;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V - acompanhar e fiscalizar especialmente as atividades do Fundo Municipal de Habitação e de Interesse Social – FMHIS e do Conselho Gestor que o gere, e de quaisquer outros fundos criados com vistas ao atendimento à política habitacional do Município, de modo a: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a) apreciar e aprovar o plano de aplicação desses recursos;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b) acompanhar e avaliar sua gestão econômica e financeira;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c) avaliar o desempenho dos Programas e projetos aprovados;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d) aprovar, anualmente, o orçamento do Fundo;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e) supervisionar convênios e contratos para a execução de Programas e projetos habitacionais com esses recursos.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VI - apreciar propostas e projetos de habitação do Poder Executivo Municipal;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VII - examinar a aplicação dos critérios de escolha do usuário, obedecendo-se o disposto nesta lei, nas diretrizes dos programas habitacionais, e na Lei Federal;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VIII - supervisionar a utilização de recursos, provenientes de fontes oficiais, para projetos habitacionais de atendimento às organizações comunitárias;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IX - apreciar a política de financiamento e subsídios do Município;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X - buscar a compatibilização da Política Habitacional do Município com as demais políticas públicas, estabelecendo relações com os órgãos, conselhos e fóruns do Estado de Mato Grosso;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lastRenderedPageBreak/>
        <w:t>XI - propor convênios destinados à execução dos projetos habitacionais, bem como para as melhorias urbanas;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XII - constituir grupos técnicos ou comissões especiais ou câmaras e convidar técnicos profissionais, quando julgar necessário, para auxiliar no desempenho de suas funções, indicando os coordenadores;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XIII - elaborar seu Regimento Interno, a ser aprovado pela maioria absoluta de seus Conselheiros;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XIV - rever suas próprias decisões, em grau de recurso, sempre que julgar conveniente;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XV - determinar a realização de auditorias em assuntos de competência do Conselho;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 xml:space="preserve">Art. 19. </w:t>
      </w:r>
      <w:r w:rsidRPr="009A6B5C">
        <w:rPr>
          <w:rFonts w:cs="Arial"/>
          <w:sz w:val="26"/>
          <w:szCs w:val="26"/>
        </w:rPr>
        <w:t>O Poder Executivo Municipal fixará por decreto, as peculiaridades e estruturação das competências do Conselho Municipal de Habitação e seus membros, instituindo o Regimento Interno do Conselho Municipal de Habitação de Campo Novo do Parecis/MT.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Seção II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Da Composição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Art. 20.</w:t>
      </w:r>
      <w:r w:rsidRPr="009A6B5C">
        <w:rPr>
          <w:rFonts w:cs="Arial"/>
          <w:color w:val="000000" w:themeColor="text1"/>
          <w:sz w:val="26"/>
          <w:szCs w:val="26"/>
        </w:rPr>
        <w:t xml:space="preserve"> O Conselho Municipal de Habitação será composto por 10 (dez) conselheiros, sendo 5 (cinco) representantes do Poder Público Municipal e 5 (cinco) representantes da sociedade civil organizada e associações de bairros do Município.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§ 1º A cada conselheiro corresponderá um suplente.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§ 2º Os conselheiros, assim como aquele eleito à presidente, terão mandato de dois anos, permitido a recondução.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Art. 21.</w:t>
      </w:r>
      <w:r w:rsidRPr="009A6B5C">
        <w:rPr>
          <w:rFonts w:cs="Arial"/>
          <w:color w:val="000000" w:themeColor="text1"/>
          <w:sz w:val="26"/>
          <w:szCs w:val="26"/>
        </w:rPr>
        <w:t xml:space="preserve"> O Conselho Municipal de Habitação tem por sua estrutura básica: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I - Presidência;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II – Vice presidência;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III – Secretária Executiva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IV - Plenário.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vanish/>
          <w:color w:val="000000" w:themeColor="text1"/>
          <w:sz w:val="26"/>
          <w:szCs w:val="26"/>
          <w:specVanish/>
        </w:rPr>
      </w:pPr>
      <w:r w:rsidRPr="009A6B5C">
        <w:rPr>
          <w:rFonts w:cs="Arial"/>
          <w:color w:val="000000" w:themeColor="text1"/>
          <w:sz w:val="26"/>
          <w:szCs w:val="26"/>
        </w:rPr>
        <w:t>§1º As competências e atribuições de cada integrante, assim como seu exercício, serão definidas em Regimento Interno deste Conselho Municipal, posteriormente deliberado por Decreto do Poder Executivo.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 xml:space="preserve"> 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color w:val="000000" w:themeColor="text1"/>
          <w:sz w:val="26"/>
          <w:szCs w:val="26"/>
        </w:rPr>
        <w:t>§2º Enquanto não for votado o Regimento Interno, as decisões do Conselho serão tomadas pelo voto de, no mínimo, 70% (setenta por cento) de seus Conselheiros, tendo o Presidente o "voto de qualidade".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Art. 22.</w:t>
      </w:r>
      <w:r w:rsidRPr="009A6B5C">
        <w:rPr>
          <w:rFonts w:cs="Arial"/>
          <w:color w:val="000000" w:themeColor="text1"/>
          <w:sz w:val="26"/>
          <w:szCs w:val="26"/>
        </w:rPr>
        <w:t xml:space="preserve"> É vedado a concessão de gratificações ou qualquer tipo de remuneração aos componentes do Conselho Municipal de Habitação.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Art. 23.</w:t>
      </w:r>
      <w:r w:rsidRPr="009A6B5C">
        <w:rPr>
          <w:rFonts w:cs="Arial"/>
          <w:color w:val="000000" w:themeColor="text1"/>
          <w:sz w:val="26"/>
          <w:szCs w:val="26"/>
        </w:rPr>
        <w:t xml:space="preserve"> A perda do vínculo legal do representante com a entidade que representa implicará na extinção de seu mandato.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Capítulo V</w:t>
      </w:r>
    </w:p>
    <w:p w:rsidR="00960FB5" w:rsidRPr="009A6B5C" w:rsidRDefault="00960FB5" w:rsidP="00960FB5">
      <w:pPr>
        <w:spacing w:line="276" w:lineRule="auto"/>
        <w:jc w:val="center"/>
        <w:rPr>
          <w:rFonts w:cs="Arial"/>
          <w:b/>
          <w:sz w:val="26"/>
          <w:szCs w:val="26"/>
        </w:rPr>
      </w:pPr>
      <w:r w:rsidRPr="009A6B5C">
        <w:rPr>
          <w:rFonts w:cs="Arial"/>
          <w:b/>
          <w:sz w:val="26"/>
          <w:szCs w:val="26"/>
        </w:rPr>
        <w:t>DISPOSIÇÕES GERAIS, TRANSITÓRIAS E FINAIS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Art. 24.</w:t>
      </w:r>
      <w:r w:rsidRPr="009A6B5C">
        <w:rPr>
          <w:rFonts w:cs="Arial"/>
          <w:color w:val="000000" w:themeColor="text1"/>
          <w:sz w:val="26"/>
          <w:szCs w:val="26"/>
        </w:rPr>
        <w:t xml:space="preserve"> Esta Lei será implementada em consonância com a Política Nacional de Habitação e com o Sistema Nacional de Habitação de Interesse Social, regidas pela lei federal nº 11.124, de 16 de Junho de 2005.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Art. 25.</w:t>
      </w:r>
      <w:r w:rsidRPr="009A6B5C">
        <w:rPr>
          <w:rFonts w:cs="Arial"/>
          <w:color w:val="000000" w:themeColor="text1"/>
          <w:sz w:val="26"/>
          <w:szCs w:val="26"/>
        </w:rPr>
        <w:t xml:space="preserve"> Esta Lei entra em vigor na data de sua publicação.</w:t>
      </w: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</w:p>
    <w:p w:rsidR="00960FB5" w:rsidRPr="009A6B5C" w:rsidRDefault="00960FB5" w:rsidP="00960FB5">
      <w:pPr>
        <w:tabs>
          <w:tab w:val="left" w:pos="0"/>
        </w:tabs>
        <w:spacing w:line="276" w:lineRule="auto"/>
        <w:ind w:firstLine="1701"/>
        <w:jc w:val="both"/>
        <w:rPr>
          <w:rFonts w:cs="Arial"/>
          <w:color w:val="000000" w:themeColor="text1"/>
          <w:sz w:val="26"/>
          <w:szCs w:val="26"/>
        </w:rPr>
      </w:pPr>
      <w:r w:rsidRPr="009A6B5C">
        <w:rPr>
          <w:rFonts w:cs="Arial"/>
          <w:b/>
          <w:color w:val="000000" w:themeColor="text1"/>
          <w:sz w:val="26"/>
          <w:szCs w:val="26"/>
        </w:rPr>
        <w:t>Art. 26.</w:t>
      </w:r>
      <w:r w:rsidRPr="009A6B5C">
        <w:rPr>
          <w:rFonts w:cs="Arial"/>
          <w:color w:val="000000" w:themeColor="text1"/>
          <w:sz w:val="26"/>
          <w:szCs w:val="26"/>
        </w:rPr>
        <w:t xml:space="preserve"> Revogam-se as disposições em contrário, em especial as leis municipais nº 946/2003, nº 1.274/08; e nº 1.369/10; e os decretos municipais nº 32/03 e 17/10.</w:t>
      </w:r>
    </w:p>
    <w:p w:rsidR="00960FB5" w:rsidRPr="009A6B5C" w:rsidRDefault="00960FB5" w:rsidP="00960FB5">
      <w:pPr>
        <w:pStyle w:val="Corpodetexto"/>
        <w:tabs>
          <w:tab w:val="left" w:pos="1950"/>
        </w:tabs>
        <w:spacing w:line="276" w:lineRule="auto"/>
        <w:ind w:firstLine="1701"/>
        <w:rPr>
          <w:rFonts w:asciiTheme="minorHAnsi" w:hAnsiTheme="minorHAnsi" w:cs="Arial"/>
          <w:sz w:val="26"/>
          <w:szCs w:val="26"/>
        </w:rPr>
      </w:pPr>
    </w:p>
    <w:p w:rsidR="00960FB5" w:rsidRPr="009A6B5C" w:rsidRDefault="00960FB5" w:rsidP="00960FB5">
      <w:pPr>
        <w:pStyle w:val="Corpodetexto"/>
        <w:tabs>
          <w:tab w:val="left" w:pos="1950"/>
        </w:tabs>
        <w:spacing w:line="276" w:lineRule="auto"/>
        <w:ind w:firstLine="1701"/>
        <w:rPr>
          <w:rFonts w:asciiTheme="minorHAnsi" w:hAnsiTheme="minorHAnsi" w:cs="Arial"/>
          <w:sz w:val="26"/>
          <w:szCs w:val="26"/>
        </w:rPr>
      </w:pPr>
      <w:r w:rsidRPr="009A6B5C">
        <w:rPr>
          <w:rFonts w:asciiTheme="minorHAnsi" w:hAnsiTheme="minorHAnsi" w:cs="Arial"/>
          <w:b/>
          <w:sz w:val="26"/>
          <w:szCs w:val="26"/>
        </w:rPr>
        <w:t>Art. 27.</w:t>
      </w:r>
      <w:r w:rsidRPr="009A6B5C">
        <w:rPr>
          <w:rFonts w:asciiTheme="minorHAnsi" w:hAnsiTheme="minorHAnsi" w:cs="Arial"/>
          <w:sz w:val="26"/>
          <w:szCs w:val="26"/>
        </w:rPr>
        <w:t xml:space="preserve"> Ficam convalidados todos os atos e programas já executados com a antiga composição dos Conselhos, gestor e municipal, relacionados aos programas de habitação, anteriores esta lei.</w:t>
      </w:r>
    </w:p>
    <w:p w:rsidR="00960FB5" w:rsidRPr="009A6B5C" w:rsidRDefault="00960FB5" w:rsidP="00960FB5">
      <w:pPr>
        <w:pStyle w:val="Corpodetexto"/>
        <w:tabs>
          <w:tab w:val="left" w:pos="1950"/>
        </w:tabs>
        <w:spacing w:line="276" w:lineRule="auto"/>
        <w:ind w:firstLine="1701"/>
        <w:rPr>
          <w:rFonts w:asciiTheme="minorHAnsi" w:hAnsiTheme="minorHAnsi"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ind w:firstLine="1701"/>
        <w:jc w:val="both"/>
        <w:rPr>
          <w:rFonts w:cs="Arial"/>
          <w:sz w:val="26"/>
          <w:szCs w:val="26"/>
        </w:rPr>
      </w:pPr>
      <w:r w:rsidRPr="009A6B5C">
        <w:rPr>
          <w:rFonts w:cs="Arial"/>
          <w:sz w:val="26"/>
          <w:szCs w:val="26"/>
        </w:rPr>
        <w:t>Gabinete do Prefeito Municipal de Campo Novo do Parecis, aos 03 dias do mês de Abril de 2019.</w:t>
      </w:r>
    </w:p>
    <w:p w:rsidR="00960FB5" w:rsidRPr="009A6B5C" w:rsidRDefault="00960FB5" w:rsidP="00960FB5">
      <w:pPr>
        <w:spacing w:line="276" w:lineRule="auto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both"/>
        <w:rPr>
          <w:rFonts w:cs="Arial"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both"/>
        <w:outlineLvl w:val="3"/>
        <w:rPr>
          <w:b/>
          <w:bCs/>
          <w:sz w:val="26"/>
          <w:szCs w:val="26"/>
        </w:rPr>
      </w:pPr>
      <w:r w:rsidRPr="009A6B5C">
        <w:rPr>
          <w:rFonts w:cs="Arial"/>
          <w:b/>
          <w:bCs/>
          <w:i/>
          <w:iCs/>
          <w:sz w:val="26"/>
          <w:szCs w:val="26"/>
        </w:rPr>
        <w:t>RAFAEL MACHADO</w:t>
      </w:r>
    </w:p>
    <w:p w:rsidR="00960FB5" w:rsidRPr="009A6B5C" w:rsidRDefault="00960FB5" w:rsidP="00960FB5">
      <w:pPr>
        <w:spacing w:line="276" w:lineRule="auto"/>
        <w:jc w:val="both"/>
        <w:outlineLvl w:val="5"/>
        <w:rPr>
          <w:rFonts w:cs="Arial"/>
          <w:b/>
          <w:bCs/>
          <w:i/>
          <w:iCs/>
          <w:sz w:val="26"/>
          <w:szCs w:val="26"/>
        </w:rPr>
      </w:pPr>
      <w:r w:rsidRPr="009A6B5C">
        <w:rPr>
          <w:rFonts w:cs="Arial"/>
          <w:b/>
          <w:bCs/>
          <w:i/>
          <w:iCs/>
          <w:sz w:val="26"/>
          <w:szCs w:val="26"/>
        </w:rPr>
        <w:t>Prefeito Municipal</w:t>
      </w:r>
    </w:p>
    <w:p w:rsidR="00960FB5" w:rsidRPr="009A6B5C" w:rsidRDefault="00960FB5" w:rsidP="00960FB5">
      <w:pPr>
        <w:spacing w:line="276" w:lineRule="auto"/>
        <w:jc w:val="both"/>
        <w:outlineLvl w:val="5"/>
        <w:rPr>
          <w:b/>
          <w:bCs/>
          <w:sz w:val="26"/>
          <w:szCs w:val="26"/>
        </w:rPr>
      </w:pPr>
    </w:p>
    <w:p w:rsidR="00960FB5" w:rsidRPr="009A6B5C" w:rsidRDefault="00960FB5" w:rsidP="00960FB5">
      <w:pPr>
        <w:tabs>
          <w:tab w:val="left" w:pos="6018"/>
        </w:tabs>
        <w:spacing w:line="276" w:lineRule="auto"/>
        <w:jc w:val="both"/>
        <w:rPr>
          <w:rFonts w:cs="Arial"/>
          <w:iCs/>
          <w:sz w:val="26"/>
          <w:szCs w:val="26"/>
        </w:rPr>
      </w:pPr>
      <w:r w:rsidRPr="009A6B5C">
        <w:rPr>
          <w:rFonts w:cs="Arial"/>
          <w:iCs/>
          <w:sz w:val="26"/>
          <w:szCs w:val="26"/>
        </w:rPr>
        <w:tab/>
      </w:r>
    </w:p>
    <w:p w:rsidR="00960FB5" w:rsidRPr="009A6B5C" w:rsidRDefault="00960FB5" w:rsidP="00960FB5">
      <w:pPr>
        <w:tabs>
          <w:tab w:val="left" w:pos="1418"/>
          <w:tab w:val="left" w:pos="6521"/>
          <w:tab w:val="decimal" w:pos="7938"/>
        </w:tabs>
        <w:spacing w:line="276" w:lineRule="auto"/>
        <w:ind w:firstLine="1418"/>
        <w:jc w:val="both"/>
        <w:rPr>
          <w:sz w:val="26"/>
          <w:szCs w:val="26"/>
        </w:rPr>
      </w:pPr>
      <w:r w:rsidRPr="009A6B5C">
        <w:rPr>
          <w:rFonts w:cs="Arial"/>
          <w:bCs/>
          <w:iCs/>
          <w:sz w:val="26"/>
          <w:szCs w:val="26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960FB5" w:rsidRPr="009A6B5C" w:rsidRDefault="00960FB5" w:rsidP="00960FB5">
      <w:pPr>
        <w:spacing w:line="276" w:lineRule="auto"/>
        <w:jc w:val="both"/>
        <w:rPr>
          <w:rFonts w:cs="Arial"/>
          <w:b/>
          <w:i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both"/>
        <w:rPr>
          <w:rFonts w:cs="Arial"/>
          <w:b/>
          <w:i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both"/>
        <w:rPr>
          <w:rFonts w:cs="Arial"/>
          <w:b/>
          <w:i/>
          <w:sz w:val="26"/>
          <w:szCs w:val="26"/>
        </w:rPr>
      </w:pPr>
    </w:p>
    <w:p w:rsidR="00960FB5" w:rsidRPr="009A6B5C" w:rsidRDefault="00960FB5" w:rsidP="00960FB5">
      <w:pPr>
        <w:spacing w:line="276" w:lineRule="auto"/>
        <w:jc w:val="both"/>
        <w:rPr>
          <w:rFonts w:cs="Arial"/>
          <w:b/>
          <w:i/>
          <w:sz w:val="26"/>
          <w:szCs w:val="26"/>
        </w:rPr>
      </w:pPr>
      <w:r w:rsidRPr="009A6B5C">
        <w:rPr>
          <w:rFonts w:cs="Arial"/>
          <w:b/>
          <w:i/>
          <w:sz w:val="26"/>
          <w:szCs w:val="26"/>
        </w:rPr>
        <w:t>GIRLEI AUGUSTO PEZ BOLZAN</w:t>
      </w:r>
    </w:p>
    <w:p w:rsidR="00960FB5" w:rsidRPr="009A6B5C" w:rsidRDefault="00960FB5" w:rsidP="00960FB5">
      <w:pPr>
        <w:spacing w:line="276" w:lineRule="auto"/>
        <w:jc w:val="both"/>
        <w:rPr>
          <w:rFonts w:cs="Arial"/>
          <w:b/>
          <w:i/>
          <w:sz w:val="26"/>
          <w:szCs w:val="26"/>
        </w:rPr>
      </w:pPr>
      <w:r w:rsidRPr="009A6B5C">
        <w:rPr>
          <w:rFonts w:cs="Arial"/>
          <w:b/>
          <w:i/>
          <w:sz w:val="26"/>
          <w:szCs w:val="26"/>
        </w:rPr>
        <w:t>Secretário Municipal de Administração</w:t>
      </w:r>
    </w:p>
    <w:p w:rsidR="00960FB5" w:rsidRPr="00162388" w:rsidRDefault="00960FB5" w:rsidP="00960FB5">
      <w:pPr>
        <w:spacing w:line="276" w:lineRule="auto"/>
        <w:jc w:val="both"/>
        <w:rPr>
          <w:rFonts w:cs="Arial"/>
          <w:sz w:val="26"/>
          <w:szCs w:val="26"/>
        </w:rPr>
      </w:pPr>
    </w:p>
    <w:p w:rsidR="004D4398" w:rsidRPr="00960FB5" w:rsidRDefault="004D4398" w:rsidP="00960FB5"/>
    <w:sectPr w:rsidR="004D4398" w:rsidRPr="00960FB5" w:rsidSect="00502AF7">
      <w:footerReference w:type="default" r:id="rId7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B9C" w:rsidRDefault="00441B9C" w:rsidP="00502AF7">
      <w:r>
        <w:separator/>
      </w:r>
    </w:p>
  </w:endnote>
  <w:endnote w:type="continuationSeparator" w:id="1">
    <w:p w:rsidR="00441B9C" w:rsidRDefault="00441B9C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441B9C" w:rsidP="004A45C3">
    <w:pPr>
      <w:pStyle w:val="Rodap"/>
    </w:pPr>
  </w:p>
  <w:p w:rsidR="009F196D" w:rsidRPr="003D3AA8" w:rsidRDefault="00441B9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B9C" w:rsidRDefault="00441B9C" w:rsidP="00502AF7">
      <w:r>
        <w:separator/>
      </w:r>
    </w:p>
  </w:footnote>
  <w:footnote w:type="continuationSeparator" w:id="1">
    <w:p w:rsidR="00441B9C" w:rsidRDefault="00441B9C" w:rsidP="00502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D41"/>
    <w:multiLevelType w:val="hybridMultilevel"/>
    <w:tmpl w:val="E0BE7878"/>
    <w:lvl w:ilvl="0" w:tplc="9AF08E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41B9C"/>
    <w:rsid w:val="004D4398"/>
    <w:rsid w:val="00502AF7"/>
    <w:rsid w:val="006772F1"/>
    <w:rsid w:val="00960FB5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960FB5"/>
    <w:pPr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60FB5"/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60FB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2681</Words>
  <Characters>14481</Characters>
  <Application>Microsoft Office Word</Application>
  <DocSecurity>0</DocSecurity>
  <Lines>120</Lines>
  <Paragraphs>34</Paragraphs>
  <ScaleCrop>false</ScaleCrop>
  <Company/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2019-06-25T12:50:00Z</dcterms:created>
  <dcterms:modified xsi:type="dcterms:W3CDTF">2019-06-25T12:50:00Z</dcterms:modified>
</cp:coreProperties>
</file>