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74C" w:rsidRDefault="007C074C" w:rsidP="007C074C">
      <w:pPr>
        <w:rPr>
          <w:rFonts w:ascii="Rubik Light" w:hAnsi="Rubik Light" w:cs="Rubik Light"/>
          <w:b/>
          <w:bCs/>
          <w:sz w:val="24"/>
          <w:szCs w:val="24"/>
        </w:rPr>
      </w:pPr>
      <w:r>
        <w:rPr>
          <w:rFonts w:ascii="Rubik Light" w:hAnsi="Rubik Light" w:cs="Rubik Light"/>
          <w:b/>
          <w:bCs/>
          <w:sz w:val="24"/>
          <w:szCs w:val="24"/>
        </w:rPr>
        <w:t xml:space="preserve">PROJETO DE LEI Nº 044/2019  </w:t>
      </w:r>
    </w:p>
    <w:p w:rsidR="007C074C" w:rsidRDefault="007C074C" w:rsidP="007C074C">
      <w:pPr>
        <w:pStyle w:val="Default"/>
        <w:ind w:right="-1"/>
        <w:jc w:val="right"/>
        <w:rPr>
          <w:rFonts w:ascii="Rubik Light" w:hAnsi="Rubik Light" w:cs="Rubik Light"/>
          <w:b/>
        </w:rPr>
      </w:pPr>
      <w:r>
        <w:rPr>
          <w:rFonts w:ascii="Rubik Light" w:hAnsi="Rubik Light" w:cs="Rubik Light"/>
          <w:b/>
        </w:rPr>
        <w:t>Autoria: Poder Executivo Municipal</w:t>
      </w:r>
    </w:p>
    <w:p w:rsidR="007C074C" w:rsidRDefault="007C074C" w:rsidP="007C074C">
      <w:pPr>
        <w:pStyle w:val="Default"/>
        <w:ind w:right="-316"/>
        <w:jc w:val="both"/>
        <w:rPr>
          <w:rFonts w:ascii="Rubik Light" w:hAnsi="Rubik Light" w:cs="Rubik Light"/>
        </w:rPr>
      </w:pPr>
    </w:p>
    <w:p w:rsidR="007C074C" w:rsidRDefault="007C074C" w:rsidP="007C074C">
      <w:pPr>
        <w:ind w:left="3969"/>
        <w:jc w:val="both"/>
        <w:rPr>
          <w:rFonts w:ascii="Arial" w:eastAsia="Times New Roman" w:hAnsi="Arial" w:cs="Arial"/>
          <w:b/>
          <w:bCs/>
          <w:kern w:val="36"/>
          <w:sz w:val="24"/>
          <w:szCs w:val="24"/>
          <w:lang w:eastAsia="pt-BR"/>
        </w:rPr>
      </w:pPr>
      <w:r>
        <w:rPr>
          <w:rFonts w:ascii="Rubik Light" w:hAnsi="Rubik Light" w:cs="Rubik Light"/>
          <w:b/>
          <w:sz w:val="24"/>
          <w:szCs w:val="24"/>
        </w:rPr>
        <w:t>ALTERA A LEI Nº 1.135, DE 11 DE JUHO DE 2006, QUE INSTITUIU A CARREIRA DOS PROFISSIONAIS DA FISCALIZAÇÃO DO MUNICÍPIO DE CAMPO NOVO DO PARECIS, E DÁ OUTRAS PROVIDÊNCIAS.</w:t>
      </w:r>
    </w:p>
    <w:p w:rsidR="007C074C" w:rsidRDefault="007C074C" w:rsidP="007C074C">
      <w:pPr>
        <w:ind w:left="3969"/>
        <w:jc w:val="both"/>
        <w:rPr>
          <w:rFonts w:ascii="Rubik Light" w:eastAsia="Arial" w:hAnsi="Rubik Light" w:cs="Rubik Light"/>
          <w:b/>
          <w:sz w:val="24"/>
          <w:szCs w:val="24"/>
          <w:lang w:eastAsia="pt-PT"/>
        </w:rPr>
      </w:pPr>
    </w:p>
    <w:p w:rsidR="007C074C" w:rsidRDefault="007C074C" w:rsidP="007C074C">
      <w:pPr>
        <w:pStyle w:val="Default"/>
        <w:ind w:right="-1"/>
        <w:jc w:val="both"/>
        <w:rPr>
          <w:rFonts w:ascii="Rubik Light" w:hAnsi="Rubik Light" w:cs="Rubik Light"/>
        </w:rPr>
      </w:pPr>
      <w:r>
        <w:rPr>
          <w:rFonts w:ascii="Rubik Light" w:hAnsi="Rubik Light" w:cs="Rubik Light"/>
          <w:b/>
          <w:bCs/>
        </w:rPr>
        <w:t>O PREFEITO MUNICIPAL</w:t>
      </w:r>
      <w:r>
        <w:rPr>
          <w:rFonts w:ascii="Rubik Light" w:hAnsi="Rubik Light" w:cs="Rubik Light"/>
          <w:bCs/>
        </w:rPr>
        <w:t>,</w:t>
      </w:r>
      <w:r>
        <w:rPr>
          <w:rFonts w:ascii="Rubik Light" w:hAnsi="Rubik Light" w:cs="Rubik Light"/>
          <w:b/>
          <w:bCs/>
        </w:rPr>
        <w:t xml:space="preserve"> </w:t>
      </w:r>
      <w:r>
        <w:rPr>
          <w:rFonts w:ascii="Rubik Light" w:hAnsi="Rubik Light" w:cs="Rubik Light"/>
        </w:rPr>
        <w:t xml:space="preserve">no uso das atribuições que lhe são conferidas por lei, faz saber que a Câmara Municipal decretou e eu promulgo a seguinte Lei: </w:t>
      </w:r>
    </w:p>
    <w:p w:rsidR="007C074C" w:rsidRDefault="007C074C" w:rsidP="007C074C">
      <w:pPr>
        <w:tabs>
          <w:tab w:val="left" w:pos="709"/>
          <w:tab w:val="left" w:pos="9072"/>
        </w:tabs>
        <w:ind w:right="-1"/>
        <w:jc w:val="both"/>
        <w:rPr>
          <w:rFonts w:ascii="Rubik Light" w:hAnsi="Rubik Light" w:cs="Rubik Light"/>
          <w:sz w:val="24"/>
          <w:szCs w:val="24"/>
        </w:rPr>
      </w:pPr>
      <w:r>
        <w:rPr>
          <w:rFonts w:ascii="Rubik Light" w:hAnsi="Rubik Light" w:cs="Rubik Light"/>
          <w:sz w:val="24"/>
          <w:szCs w:val="24"/>
        </w:rPr>
        <w:t xml:space="preserve">                                                             </w:t>
      </w:r>
    </w:p>
    <w:p w:rsidR="007C074C" w:rsidRDefault="007C074C" w:rsidP="007C074C">
      <w:pPr>
        <w:jc w:val="both"/>
        <w:rPr>
          <w:rFonts w:ascii="Rubik Light" w:hAnsi="Rubik Light" w:cs="Rubik Light"/>
          <w:b/>
          <w:sz w:val="24"/>
          <w:szCs w:val="24"/>
        </w:rPr>
      </w:pPr>
    </w:p>
    <w:p w:rsidR="007C074C" w:rsidRDefault="007C074C" w:rsidP="007C074C">
      <w:pPr>
        <w:jc w:val="both"/>
        <w:rPr>
          <w:rFonts w:ascii="Rubik Light" w:hAnsi="Rubik Light" w:cs="Rubik Light"/>
          <w:b/>
          <w:sz w:val="24"/>
          <w:szCs w:val="24"/>
        </w:rPr>
      </w:pPr>
    </w:p>
    <w:p w:rsidR="007C074C" w:rsidRDefault="007C074C" w:rsidP="007C074C">
      <w:pPr>
        <w:jc w:val="both"/>
        <w:rPr>
          <w:rFonts w:ascii="Rubik Light" w:hAnsi="Rubik Light" w:cs="Rubik Light"/>
          <w:sz w:val="24"/>
          <w:szCs w:val="24"/>
        </w:rPr>
      </w:pPr>
      <w:r>
        <w:rPr>
          <w:rFonts w:ascii="Rubik Light" w:hAnsi="Rubik Light" w:cs="Rubik Light"/>
          <w:b/>
          <w:sz w:val="24"/>
          <w:szCs w:val="24"/>
        </w:rPr>
        <w:t>Art. 1</w:t>
      </w:r>
      <w:r>
        <w:rPr>
          <w:rFonts w:ascii="Rubik Light" w:hAnsi="Rubik Light" w:cs="Rubik Light"/>
          <w:b/>
          <w:strike/>
          <w:sz w:val="24"/>
          <w:szCs w:val="24"/>
        </w:rPr>
        <w:t>º</w:t>
      </w:r>
      <w:r>
        <w:rPr>
          <w:rFonts w:ascii="Rubik Light" w:hAnsi="Rubik Light" w:cs="Rubik Light"/>
          <w:sz w:val="24"/>
          <w:szCs w:val="24"/>
        </w:rPr>
        <w:t xml:space="preserve"> Acrescenta-se a alínea “e” ao art. 10 da Lei nº 1.135, de 11 de julho de 2006, com a seguinte redação:</w:t>
      </w:r>
    </w:p>
    <w:p w:rsidR="007C074C" w:rsidRDefault="007C074C" w:rsidP="007C074C">
      <w:pPr>
        <w:jc w:val="both"/>
        <w:rPr>
          <w:rFonts w:ascii="Rubik Light" w:hAnsi="Rubik Light" w:cs="Rubik Light"/>
          <w:sz w:val="24"/>
          <w:szCs w:val="24"/>
        </w:rPr>
      </w:pPr>
    </w:p>
    <w:p w:rsidR="007C074C" w:rsidRDefault="007C074C" w:rsidP="007C074C">
      <w:pPr>
        <w:ind w:left="567"/>
        <w:jc w:val="both"/>
        <w:rPr>
          <w:rFonts w:ascii="Rubik Light" w:hAnsi="Rubik Light" w:cs="Rubik Light"/>
          <w:i/>
          <w:sz w:val="24"/>
          <w:szCs w:val="24"/>
        </w:rPr>
      </w:pPr>
      <w:r>
        <w:rPr>
          <w:rFonts w:ascii="Rubik Light" w:hAnsi="Rubik Light" w:cs="Rubik Light"/>
          <w:sz w:val="24"/>
          <w:szCs w:val="24"/>
        </w:rPr>
        <w:t>“</w:t>
      </w:r>
      <w:r>
        <w:rPr>
          <w:rFonts w:ascii="Rubik Light" w:hAnsi="Rubik Light" w:cs="Rubik Light"/>
          <w:i/>
          <w:sz w:val="24"/>
          <w:szCs w:val="24"/>
        </w:rPr>
        <w:t>Art. 10………………………………………………..</w:t>
      </w:r>
    </w:p>
    <w:p w:rsidR="007C074C" w:rsidRDefault="007C074C" w:rsidP="007C074C">
      <w:pPr>
        <w:ind w:left="567"/>
        <w:jc w:val="both"/>
        <w:rPr>
          <w:rFonts w:ascii="Rubik Light" w:hAnsi="Rubik Light" w:cs="Rubik Light"/>
          <w:i/>
          <w:sz w:val="24"/>
          <w:szCs w:val="24"/>
        </w:rPr>
      </w:pPr>
      <w:r>
        <w:rPr>
          <w:rFonts w:ascii="Rubik Light" w:hAnsi="Rubik Light" w:cs="Rubik Light"/>
          <w:i/>
          <w:sz w:val="24"/>
          <w:szCs w:val="24"/>
        </w:rPr>
        <w:t>………………………………………………………………</w:t>
      </w:r>
    </w:p>
    <w:p w:rsidR="007C074C" w:rsidRDefault="007C074C" w:rsidP="007C074C">
      <w:pPr>
        <w:ind w:left="567"/>
        <w:jc w:val="both"/>
        <w:rPr>
          <w:rFonts w:ascii="Rubik Light" w:hAnsi="Rubik Light" w:cs="Rubik Light"/>
          <w:i/>
          <w:sz w:val="24"/>
          <w:szCs w:val="24"/>
        </w:rPr>
      </w:pPr>
      <w:r>
        <w:rPr>
          <w:rFonts w:ascii="Rubik Light" w:hAnsi="Rubik Light" w:cs="Rubik Light"/>
          <w:i/>
          <w:sz w:val="24"/>
          <w:szCs w:val="24"/>
        </w:rPr>
        <w:t>e) Classe E: segundo título de especialista de, no mínimo, 360 (trezentas e sessenta) horas, ou título de mestrado ou doutorado, reconhecidos pelo Ministério da Educação, correlacionado à área de atuação.” (NR)</w:t>
      </w:r>
    </w:p>
    <w:p w:rsidR="007C074C" w:rsidRDefault="007C074C" w:rsidP="007C074C">
      <w:pPr>
        <w:jc w:val="both"/>
        <w:rPr>
          <w:rFonts w:ascii="Rubik Light" w:hAnsi="Rubik Light" w:cs="Rubik Light"/>
          <w:sz w:val="24"/>
          <w:szCs w:val="24"/>
        </w:rPr>
      </w:pPr>
    </w:p>
    <w:p w:rsidR="007C074C" w:rsidRDefault="007C074C" w:rsidP="007C074C">
      <w:pPr>
        <w:jc w:val="both"/>
        <w:rPr>
          <w:rFonts w:ascii="Rubik Light" w:hAnsi="Rubik Light" w:cs="Rubik Light"/>
          <w:sz w:val="24"/>
          <w:szCs w:val="24"/>
        </w:rPr>
      </w:pPr>
      <w:r>
        <w:rPr>
          <w:rFonts w:ascii="Rubik Light" w:hAnsi="Rubik Light" w:cs="Rubik Light"/>
          <w:b/>
          <w:sz w:val="24"/>
          <w:szCs w:val="24"/>
        </w:rPr>
        <w:t>Art. 2</w:t>
      </w:r>
      <w:r>
        <w:rPr>
          <w:rFonts w:ascii="Rubik Light" w:hAnsi="Rubik Light" w:cs="Rubik Light"/>
          <w:b/>
          <w:strike/>
          <w:sz w:val="24"/>
          <w:szCs w:val="24"/>
        </w:rPr>
        <w:t>º</w:t>
      </w:r>
      <w:r>
        <w:rPr>
          <w:rFonts w:ascii="Rubik Light" w:hAnsi="Rubik Light" w:cs="Rubik Light"/>
          <w:sz w:val="24"/>
          <w:szCs w:val="24"/>
        </w:rPr>
        <w:t xml:space="preserve"> Acrescenta-se o parágrafo único ao art. 11 da Lei nº 1.135/2006, com a seguinte redação:</w:t>
      </w:r>
    </w:p>
    <w:p w:rsidR="007C074C" w:rsidRDefault="007C074C" w:rsidP="007C074C">
      <w:pPr>
        <w:jc w:val="both"/>
        <w:rPr>
          <w:rFonts w:ascii="Rubik Light" w:hAnsi="Rubik Light" w:cs="Rubik Light"/>
          <w:sz w:val="24"/>
          <w:szCs w:val="24"/>
        </w:rPr>
      </w:pPr>
    </w:p>
    <w:p w:rsidR="007C074C" w:rsidRDefault="007C074C" w:rsidP="007C074C">
      <w:pPr>
        <w:ind w:left="567"/>
        <w:jc w:val="both"/>
        <w:rPr>
          <w:rFonts w:ascii="Rubik Light" w:hAnsi="Rubik Light" w:cs="Rubik Light"/>
          <w:i/>
          <w:sz w:val="24"/>
          <w:szCs w:val="24"/>
        </w:rPr>
      </w:pPr>
      <w:r>
        <w:rPr>
          <w:rFonts w:ascii="Rubik Light" w:hAnsi="Rubik Light" w:cs="Rubik Light"/>
          <w:i/>
          <w:sz w:val="24"/>
          <w:szCs w:val="24"/>
        </w:rPr>
        <w:t>“Art. 11.………………………………………………..</w:t>
      </w:r>
    </w:p>
    <w:p w:rsidR="007C074C" w:rsidRDefault="007C074C" w:rsidP="007C074C">
      <w:pPr>
        <w:ind w:left="567"/>
        <w:jc w:val="both"/>
        <w:rPr>
          <w:rFonts w:ascii="Rubik Light" w:hAnsi="Rubik Light" w:cs="Rubik Light"/>
          <w:i/>
          <w:sz w:val="24"/>
          <w:szCs w:val="24"/>
        </w:rPr>
      </w:pPr>
      <w:r>
        <w:rPr>
          <w:rFonts w:ascii="Rubik Light" w:hAnsi="Rubik Light" w:cs="Rubik Light"/>
          <w:i/>
          <w:sz w:val="24"/>
          <w:szCs w:val="24"/>
        </w:rPr>
        <w:t>………………………………………………………………</w:t>
      </w:r>
    </w:p>
    <w:p w:rsidR="007C074C" w:rsidRDefault="007C074C" w:rsidP="007C074C">
      <w:pPr>
        <w:ind w:left="567"/>
        <w:jc w:val="both"/>
        <w:rPr>
          <w:rFonts w:ascii="Rubik Light" w:hAnsi="Rubik Light" w:cs="Rubik Light"/>
          <w:i/>
          <w:sz w:val="24"/>
          <w:szCs w:val="24"/>
        </w:rPr>
      </w:pPr>
      <w:r>
        <w:rPr>
          <w:rFonts w:ascii="Rubik Light" w:hAnsi="Rubik Light" w:cs="Rubik Light"/>
          <w:i/>
          <w:sz w:val="24"/>
          <w:szCs w:val="24"/>
        </w:rPr>
        <w:t>Parágrafo único. Os cargos de provimento efetivo ficam distribuídos em 12 (doze) níveis e 05 (cinco) classes.” (NR)</w:t>
      </w:r>
    </w:p>
    <w:p w:rsidR="007C074C" w:rsidRDefault="007C074C" w:rsidP="007C074C">
      <w:pPr>
        <w:jc w:val="both"/>
        <w:rPr>
          <w:rFonts w:ascii="Rubik Light" w:hAnsi="Rubik Light" w:cs="Rubik Light"/>
          <w:sz w:val="24"/>
          <w:szCs w:val="24"/>
        </w:rPr>
      </w:pPr>
    </w:p>
    <w:p w:rsidR="007C074C" w:rsidRDefault="007C074C" w:rsidP="007C074C">
      <w:pPr>
        <w:ind w:right="-1"/>
        <w:jc w:val="both"/>
        <w:rPr>
          <w:rFonts w:ascii="Rubik Light" w:hAnsi="Rubik Light" w:cs="Rubik Light"/>
          <w:sz w:val="24"/>
          <w:szCs w:val="24"/>
          <w:shd w:val="clear" w:color="auto" w:fill="FFFFFF"/>
        </w:rPr>
      </w:pPr>
      <w:r>
        <w:rPr>
          <w:rFonts w:ascii="Rubik Light" w:hAnsi="Rubik Light" w:cs="Rubik Light"/>
          <w:b/>
          <w:sz w:val="24"/>
          <w:szCs w:val="24"/>
        </w:rPr>
        <w:t>Art. 3º</w:t>
      </w:r>
      <w:r>
        <w:rPr>
          <w:rFonts w:ascii="Rubik Light" w:hAnsi="Rubik Light" w:cs="Rubik Light"/>
          <w:sz w:val="24"/>
          <w:szCs w:val="24"/>
        </w:rPr>
        <w:t xml:space="preserve"> Fica alterado o </w:t>
      </w:r>
      <w:r>
        <w:rPr>
          <w:rFonts w:ascii="Rubik Light" w:hAnsi="Rubik Light" w:cs="Rubik Light"/>
          <w:sz w:val="24"/>
          <w:szCs w:val="24"/>
          <w:shd w:val="clear" w:color="auto" w:fill="FFFFFF"/>
        </w:rPr>
        <w:t>§ 1º do art. 12 da Lei nº 1.135/206, que passa a vigorar com a seguinte redação:</w:t>
      </w:r>
    </w:p>
    <w:p w:rsidR="007C074C" w:rsidRDefault="007C074C" w:rsidP="007C074C">
      <w:pPr>
        <w:ind w:right="-1"/>
        <w:jc w:val="both"/>
        <w:rPr>
          <w:rFonts w:ascii="Rubik Light" w:hAnsi="Rubik Light" w:cs="Rubik Light"/>
          <w:sz w:val="24"/>
          <w:szCs w:val="24"/>
          <w:shd w:val="clear" w:color="auto" w:fill="FFFFFF"/>
        </w:rPr>
      </w:pPr>
    </w:p>
    <w:p w:rsidR="007C074C" w:rsidRDefault="007C074C" w:rsidP="007C074C">
      <w:pPr>
        <w:ind w:left="567" w:right="-1"/>
        <w:jc w:val="both"/>
        <w:rPr>
          <w:rFonts w:ascii="Rubik Light" w:hAnsi="Rubik Light" w:cs="Rubik Light"/>
          <w:i/>
          <w:sz w:val="24"/>
          <w:szCs w:val="24"/>
          <w:shd w:val="clear" w:color="auto" w:fill="FFFFFF"/>
        </w:rPr>
      </w:pPr>
      <w:r>
        <w:rPr>
          <w:rFonts w:ascii="Rubik Light" w:hAnsi="Rubik Light" w:cs="Rubik Light"/>
          <w:i/>
          <w:sz w:val="24"/>
          <w:szCs w:val="24"/>
          <w:shd w:val="clear" w:color="auto" w:fill="FFFFFF"/>
        </w:rPr>
        <w:t>“Art. 12………………………………………………….</w:t>
      </w:r>
    </w:p>
    <w:p w:rsidR="007C074C" w:rsidRDefault="007C074C" w:rsidP="007C074C">
      <w:pPr>
        <w:ind w:left="567" w:right="-1"/>
        <w:jc w:val="both"/>
        <w:rPr>
          <w:rFonts w:ascii="Rubik Light" w:hAnsi="Rubik Light" w:cs="Rubik Light"/>
          <w:i/>
          <w:sz w:val="24"/>
          <w:szCs w:val="24"/>
        </w:rPr>
      </w:pPr>
      <w:r>
        <w:rPr>
          <w:rFonts w:ascii="Rubik Light" w:hAnsi="Rubik Light" w:cs="Rubik Light"/>
          <w:i/>
          <w:sz w:val="24"/>
          <w:szCs w:val="24"/>
          <w:shd w:val="clear" w:color="auto" w:fill="FFFFFF"/>
        </w:rPr>
        <w:t>…………………………………………………………………</w:t>
      </w:r>
    </w:p>
    <w:p w:rsidR="007C074C" w:rsidRDefault="007C074C" w:rsidP="007C074C">
      <w:pPr>
        <w:ind w:left="567" w:right="-1"/>
        <w:jc w:val="both"/>
        <w:rPr>
          <w:rFonts w:ascii="Rubik Light" w:hAnsi="Rubik Light" w:cs="Rubik Light"/>
          <w:i/>
          <w:sz w:val="24"/>
          <w:szCs w:val="24"/>
        </w:rPr>
      </w:pPr>
      <w:r>
        <w:rPr>
          <w:rFonts w:ascii="Rubik Light" w:hAnsi="Rubik Light" w:cs="Rubik Light"/>
          <w:i/>
          <w:sz w:val="24"/>
          <w:szCs w:val="24"/>
          <w:shd w:val="clear" w:color="auto" w:fill="FFFFFF"/>
        </w:rPr>
        <w:t>§ 1º As demais progressões, após o término do estágio probatório, ocorrerão a cada 3 (três) anos.” (NR)</w:t>
      </w:r>
    </w:p>
    <w:p w:rsidR="007C074C" w:rsidRDefault="007C074C" w:rsidP="007C074C">
      <w:pPr>
        <w:ind w:right="-1"/>
        <w:jc w:val="both"/>
        <w:rPr>
          <w:rFonts w:ascii="Rubik Light" w:hAnsi="Rubik Light" w:cs="Rubik Light"/>
          <w:sz w:val="24"/>
          <w:szCs w:val="24"/>
        </w:rPr>
      </w:pPr>
    </w:p>
    <w:p w:rsidR="007C074C" w:rsidRDefault="007C074C" w:rsidP="007C074C">
      <w:pPr>
        <w:ind w:right="-1"/>
        <w:jc w:val="both"/>
        <w:rPr>
          <w:rFonts w:ascii="Rubik Light" w:hAnsi="Rubik Light" w:cs="Rubik Light"/>
          <w:sz w:val="24"/>
          <w:szCs w:val="24"/>
          <w:shd w:val="clear" w:color="auto" w:fill="FFFFFF"/>
        </w:rPr>
      </w:pPr>
      <w:r>
        <w:rPr>
          <w:rFonts w:ascii="Rubik Light" w:hAnsi="Rubik Light" w:cs="Rubik Light"/>
          <w:b/>
          <w:sz w:val="24"/>
          <w:szCs w:val="24"/>
        </w:rPr>
        <w:t>Art. 4º</w:t>
      </w:r>
      <w:r>
        <w:rPr>
          <w:rFonts w:ascii="Rubik Light" w:hAnsi="Rubik Light" w:cs="Rubik Light"/>
          <w:sz w:val="24"/>
          <w:szCs w:val="24"/>
        </w:rPr>
        <w:t xml:space="preserve"> O </w:t>
      </w:r>
      <w:r>
        <w:rPr>
          <w:rFonts w:ascii="Rubik Light" w:hAnsi="Rubik Light" w:cs="Rubik Light"/>
          <w:i/>
          <w:sz w:val="24"/>
          <w:szCs w:val="24"/>
        </w:rPr>
        <w:t xml:space="preserve">caput </w:t>
      </w:r>
      <w:r>
        <w:rPr>
          <w:rFonts w:ascii="Rubik Light" w:hAnsi="Rubik Light" w:cs="Rubik Light"/>
          <w:sz w:val="24"/>
          <w:szCs w:val="24"/>
        </w:rPr>
        <w:t xml:space="preserve">do art. 13 da </w:t>
      </w:r>
      <w:r>
        <w:rPr>
          <w:rFonts w:ascii="Rubik Light" w:hAnsi="Rubik Light" w:cs="Rubik Light"/>
          <w:sz w:val="24"/>
          <w:szCs w:val="24"/>
          <w:shd w:val="clear" w:color="auto" w:fill="FFFFFF"/>
        </w:rPr>
        <w:t>Lei nº 1.135/206 passa a vigorar com a seguinte redação:</w:t>
      </w:r>
    </w:p>
    <w:p w:rsidR="007C074C" w:rsidRDefault="007C074C" w:rsidP="007C074C">
      <w:pPr>
        <w:ind w:right="-1"/>
        <w:jc w:val="both"/>
        <w:rPr>
          <w:rFonts w:ascii="Rubik Light" w:hAnsi="Rubik Light" w:cs="Rubik Light"/>
          <w:sz w:val="24"/>
          <w:szCs w:val="24"/>
        </w:rPr>
      </w:pPr>
    </w:p>
    <w:p w:rsidR="007C074C" w:rsidRDefault="007C074C" w:rsidP="007C074C">
      <w:pPr>
        <w:ind w:left="567" w:right="-1"/>
        <w:jc w:val="both"/>
        <w:rPr>
          <w:rFonts w:ascii="Rubik Light" w:hAnsi="Rubik Light" w:cs="Rubik Light"/>
          <w:i/>
          <w:sz w:val="24"/>
          <w:szCs w:val="24"/>
        </w:rPr>
      </w:pPr>
      <w:r w:rsidRPr="007C074C">
        <w:rPr>
          <w:rFonts w:ascii="Rubik Light" w:hAnsi="Rubik Light" w:cs="Rubik Light"/>
          <w:i/>
          <w:sz w:val="24"/>
          <w:szCs w:val="24"/>
        </w:rPr>
        <w:t>“Art. 13. A progressão horizontal por titulação profissional é a passagem do servidor público municipal, ocupante de um dos cargos definidos nesta Lei, de uma classe para outra no mesmo cargo, em virtue de comprovação da habilitação e/ou certificação de aperfeiçoamento, e/ou qualificação, e/ou capacitação profissional exigida para a respectiva classe, observado o cumprimento do intervalo mínimo de 2 (dois) anos de uma classe para outra.” (NR)</w:t>
      </w:r>
    </w:p>
    <w:p w:rsidR="007C074C" w:rsidRDefault="007C074C" w:rsidP="007C074C">
      <w:pPr>
        <w:ind w:right="-1"/>
        <w:jc w:val="both"/>
        <w:rPr>
          <w:rFonts w:ascii="Rubik Light" w:hAnsi="Rubik Light" w:cs="Rubik Light"/>
          <w:sz w:val="24"/>
          <w:szCs w:val="24"/>
        </w:rPr>
      </w:pPr>
    </w:p>
    <w:p w:rsidR="007C074C" w:rsidRDefault="007C074C" w:rsidP="007C074C">
      <w:pPr>
        <w:ind w:right="-1"/>
        <w:jc w:val="both"/>
        <w:rPr>
          <w:rFonts w:ascii="Rubik Light" w:hAnsi="Rubik Light" w:cs="Rubik Light"/>
          <w:sz w:val="24"/>
          <w:szCs w:val="24"/>
          <w:shd w:val="clear" w:color="auto" w:fill="FFFFFF"/>
        </w:rPr>
      </w:pPr>
      <w:r>
        <w:rPr>
          <w:rFonts w:ascii="Rubik Light" w:hAnsi="Rubik Light" w:cs="Rubik Light"/>
          <w:b/>
          <w:sz w:val="24"/>
          <w:szCs w:val="24"/>
        </w:rPr>
        <w:t>Art. 5º</w:t>
      </w:r>
      <w:r>
        <w:rPr>
          <w:rFonts w:ascii="Rubik Light" w:hAnsi="Rubik Light" w:cs="Rubik Light"/>
          <w:sz w:val="24"/>
          <w:szCs w:val="24"/>
        </w:rPr>
        <w:t xml:space="preserve"> O art. 23 da Lei nº 1.135/2006 passa a vigorar com a seguinte redação</w:t>
      </w:r>
      <w:r>
        <w:rPr>
          <w:rFonts w:ascii="Rubik Light" w:hAnsi="Rubik Light" w:cs="Rubik Light"/>
          <w:sz w:val="24"/>
          <w:szCs w:val="24"/>
          <w:shd w:val="clear" w:color="auto" w:fill="FFFFFF"/>
        </w:rPr>
        <w:t>:</w:t>
      </w:r>
    </w:p>
    <w:p w:rsidR="007C074C" w:rsidRDefault="007C074C" w:rsidP="007C074C">
      <w:pPr>
        <w:ind w:right="-1"/>
        <w:jc w:val="both"/>
        <w:rPr>
          <w:rFonts w:ascii="Rubik Light" w:hAnsi="Rubik Light" w:cs="Rubik Light"/>
          <w:sz w:val="24"/>
          <w:szCs w:val="24"/>
        </w:rPr>
      </w:pPr>
    </w:p>
    <w:p w:rsidR="007C074C" w:rsidRPr="007C074C" w:rsidRDefault="007C074C" w:rsidP="007C074C">
      <w:pPr>
        <w:pStyle w:val="Heading1"/>
        <w:ind w:left="567"/>
        <w:jc w:val="both"/>
        <w:rPr>
          <w:rFonts w:ascii="Rubik Light" w:hAnsi="Rubik Light" w:cs="Rubik Light"/>
          <w:b w:val="0"/>
          <w:i/>
          <w:sz w:val="24"/>
          <w:szCs w:val="24"/>
        </w:rPr>
      </w:pPr>
      <w:r w:rsidRPr="007C074C">
        <w:rPr>
          <w:rFonts w:ascii="Rubik Light" w:hAnsi="Rubik Light" w:cs="Rubik Light"/>
          <w:b w:val="0"/>
          <w:i/>
          <w:sz w:val="24"/>
          <w:szCs w:val="24"/>
        </w:rPr>
        <w:t xml:space="preserve">“Art. 13 O adicional de produtividade para fins de pagamento fica fixado, mensalmente, em até 1.500 (um mil e quinhentos) pontos, tendo como </w:t>
      </w:r>
      <w:r w:rsidRPr="007C074C">
        <w:rPr>
          <w:rFonts w:ascii="Rubik Light" w:hAnsi="Rubik Light" w:cs="Rubik Light"/>
          <w:b w:val="0"/>
          <w:i/>
          <w:sz w:val="24"/>
          <w:szCs w:val="24"/>
        </w:rPr>
        <w:lastRenderedPageBreak/>
        <w:t>limite mínimo para pagamento mensal a quantia de 750 (setecentos e cinquenta) pontos.</w:t>
      </w:r>
    </w:p>
    <w:p w:rsidR="007C074C" w:rsidRPr="007C074C" w:rsidRDefault="007C074C" w:rsidP="007C074C">
      <w:pPr>
        <w:pStyle w:val="Heading1"/>
        <w:ind w:left="567"/>
        <w:jc w:val="both"/>
        <w:rPr>
          <w:rFonts w:ascii="Rubik Light" w:hAnsi="Rubik Light" w:cs="Rubik Light"/>
          <w:b w:val="0"/>
          <w:i/>
          <w:sz w:val="24"/>
          <w:szCs w:val="24"/>
        </w:rPr>
      </w:pPr>
      <w:r w:rsidRPr="007C074C">
        <w:rPr>
          <w:rFonts w:ascii="Rubik Light" w:hAnsi="Rubik Light" w:cs="Rubik Light"/>
          <w:b w:val="0"/>
          <w:i/>
          <w:sz w:val="24"/>
          <w:szCs w:val="24"/>
        </w:rPr>
        <w:t>……………………………………………………..</w:t>
      </w:r>
    </w:p>
    <w:p w:rsidR="007C074C" w:rsidRPr="007C074C" w:rsidRDefault="007C074C" w:rsidP="007C074C">
      <w:pPr>
        <w:pStyle w:val="Heading1"/>
        <w:ind w:left="567"/>
        <w:jc w:val="both"/>
        <w:rPr>
          <w:rFonts w:ascii="Rubik Light" w:hAnsi="Rubik Light" w:cs="Rubik Light"/>
          <w:b w:val="0"/>
          <w:i/>
          <w:sz w:val="24"/>
          <w:szCs w:val="24"/>
          <w:shd w:val="clear" w:color="auto" w:fill="FFFFFF"/>
        </w:rPr>
      </w:pPr>
      <w:r w:rsidRPr="007C074C">
        <w:rPr>
          <w:rFonts w:ascii="Rubik Light" w:hAnsi="Rubik Light" w:cs="Rubik Light"/>
          <w:b w:val="0"/>
          <w:i/>
          <w:sz w:val="24"/>
          <w:szCs w:val="24"/>
          <w:shd w:val="clear" w:color="auto" w:fill="FFFFFF"/>
        </w:rPr>
        <w:t>§2º Não fará jus ao recebimento da produtividade o fiscal cuja soma de pontos apurada em contagem total de atividades, em determinado mês, não atingir o limite mínimo de 30% (trinta por cento) do total de pontos fixados para recebimento.</w:t>
      </w:r>
    </w:p>
    <w:p w:rsidR="007C074C" w:rsidRPr="007C074C" w:rsidRDefault="007C074C" w:rsidP="007C074C">
      <w:pPr>
        <w:pStyle w:val="Heading1"/>
        <w:ind w:left="567"/>
        <w:jc w:val="both"/>
        <w:rPr>
          <w:rFonts w:ascii="Rubik Light" w:hAnsi="Rubik Light" w:cs="Rubik Light"/>
          <w:b w:val="0"/>
          <w:i/>
          <w:sz w:val="24"/>
          <w:szCs w:val="24"/>
          <w:shd w:val="clear" w:color="auto" w:fill="FFFFFF"/>
        </w:rPr>
      </w:pPr>
      <w:r w:rsidRPr="007C074C">
        <w:rPr>
          <w:rFonts w:ascii="Rubik Light" w:hAnsi="Rubik Light" w:cs="Rubik Light"/>
          <w:b w:val="0"/>
          <w:i/>
          <w:sz w:val="24"/>
          <w:szCs w:val="24"/>
          <w:shd w:val="clear" w:color="auto" w:fill="FFFFFF"/>
        </w:rPr>
        <w:t xml:space="preserve">§3º Para os servidores efetivos da carreira dos profissionais da fiscalização ocupantes de cargos de provimento em comissão, função gratificada ou função de confiança, nas Secretarias em que os servidores percebam produtividade, o ocupante do cargo de provimento em comissão, função gratificada ou função de confiança terá como incentivo a produtividade, a média auferida por todos os agentes fiscais em exercício, aplicando-se também o disposto noTitulo III Capítulo IV desta lei. </w:t>
      </w:r>
    </w:p>
    <w:p w:rsidR="007C074C" w:rsidRPr="007C074C" w:rsidRDefault="007C074C" w:rsidP="007C074C">
      <w:pPr>
        <w:pStyle w:val="Heading1"/>
        <w:ind w:left="567"/>
        <w:jc w:val="both"/>
        <w:rPr>
          <w:rFonts w:ascii="Rubik Light" w:hAnsi="Rubik Light" w:cs="Rubik Light"/>
          <w:b w:val="0"/>
          <w:i/>
          <w:sz w:val="24"/>
          <w:szCs w:val="24"/>
          <w:shd w:val="clear" w:color="auto" w:fill="FFFFFF"/>
        </w:rPr>
      </w:pPr>
      <w:r w:rsidRPr="007C074C">
        <w:rPr>
          <w:rFonts w:ascii="Rubik Light" w:hAnsi="Rubik Light" w:cs="Rubik Light"/>
          <w:b w:val="0"/>
          <w:i/>
          <w:sz w:val="24"/>
          <w:szCs w:val="24"/>
          <w:shd w:val="clear" w:color="auto" w:fill="FFFFFF"/>
        </w:rPr>
        <w:t>§4º Considera-se média auferida a soma das pontuações computadas no período de um mês realizadas por todos os agentes de fiscalização, dividida pelo número de agentes de fiscalização efetivos em exercício.” (NR)</w:t>
      </w:r>
    </w:p>
    <w:p w:rsidR="007C074C" w:rsidRPr="007C074C" w:rsidRDefault="007C074C" w:rsidP="007C074C">
      <w:pPr>
        <w:ind w:left="567" w:right="-1"/>
        <w:jc w:val="both"/>
        <w:rPr>
          <w:rFonts w:ascii="Rubik Light" w:hAnsi="Rubik Light" w:cs="Rubik Light"/>
          <w:i/>
          <w:sz w:val="24"/>
          <w:szCs w:val="24"/>
        </w:rPr>
      </w:pPr>
    </w:p>
    <w:p w:rsidR="007C074C" w:rsidRPr="007C074C" w:rsidRDefault="007C074C" w:rsidP="007C074C">
      <w:pPr>
        <w:ind w:right="-1"/>
        <w:jc w:val="both"/>
        <w:rPr>
          <w:rFonts w:ascii="Rubik Light" w:hAnsi="Rubik Light" w:cs="Rubik Light"/>
          <w:sz w:val="24"/>
          <w:szCs w:val="24"/>
          <w:shd w:val="clear" w:color="auto" w:fill="FFFFFF"/>
        </w:rPr>
      </w:pPr>
      <w:r w:rsidRPr="007C074C">
        <w:rPr>
          <w:rFonts w:ascii="Rubik Light" w:hAnsi="Rubik Light" w:cs="Rubik Light"/>
          <w:b/>
          <w:sz w:val="24"/>
          <w:szCs w:val="24"/>
        </w:rPr>
        <w:t>Art. 6º</w:t>
      </w:r>
      <w:r w:rsidRPr="007C074C">
        <w:rPr>
          <w:rFonts w:ascii="Rubik Light" w:hAnsi="Rubik Light" w:cs="Rubik Light"/>
          <w:sz w:val="24"/>
          <w:szCs w:val="24"/>
        </w:rPr>
        <w:t xml:space="preserve"> O art. 27 da Lei nº 1.135/2006 passa a vigorar com a seguinte redação</w:t>
      </w:r>
      <w:r w:rsidRPr="007C074C">
        <w:rPr>
          <w:rFonts w:ascii="Rubik Light" w:hAnsi="Rubik Light" w:cs="Rubik Light"/>
          <w:sz w:val="24"/>
          <w:szCs w:val="24"/>
          <w:shd w:val="clear" w:color="auto" w:fill="FFFFFF"/>
        </w:rPr>
        <w:t>:</w:t>
      </w:r>
    </w:p>
    <w:p w:rsidR="007C074C" w:rsidRPr="007C074C" w:rsidRDefault="007C074C" w:rsidP="007C074C">
      <w:pPr>
        <w:ind w:right="-1"/>
        <w:jc w:val="both"/>
        <w:rPr>
          <w:rFonts w:ascii="Rubik Light" w:hAnsi="Rubik Light" w:cs="Rubik Light"/>
          <w:sz w:val="24"/>
          <w:szCs w:val="24"/>
          <w:shd w:val="clear" w:color="auto" w:fill="FFFFFF"/>
        </w:rPr>
      </w:pPr>
    </w:p>
    <w:p w:rsidR="007C074C" w:rsidRPr="007C074C" w:rsidRDefault="007C074C" w:rsidP="007C074C">
      <w:pPr>
        <w:ind w:left="567" w:right="-1"/>
        <w:jc w:val="both"/>
        <w:rPr>
          <w:rFonts w:ascii="Rubik Light" w:hAnsi="Rubik Light" w:cs="Rubik Light"/>
          <w:i/>
          <w:sz w:val="24"/>
          <w:szCs w:val="24"/>
          <w:shd w:val="clear" w:color="auto" w:fill="FFFFFF"/>
        </w:rPr>
      </w:pPr>
      <w:r w:rsidRPr="007C074C">
        <w:rPr>
          <w:rFonts w:ascii="Rubik Light" w:hAnsi="Rubik Light" w:cs="Rubik Light"/>
          <w:i/>
          <w:sz w:val="24"/>
          <w:szCs w:val="24"/>
          <w:shd w:val="clear" w:color="auto" w:fill="FFFFFF"/>
        </w:rPr>
        <w:t>“Art. 27. É vedado o acúmulo de adicional de produtividade com horas extraordinárias.</w:t>
      </w:r>
    </w:p>
    <w:p w:rsidR="007C074C" w:rsidRPr="007C074C" w:rsidRDefault="007C074C" w:rsidP="007C074C">
      <w:pPr>
        <w:ind w:left="567" w:right="-1"/>
        <w:jc w:val="both"/>
        <w:rPr>
          <w:rFonts w:ascii="Rubik Light" w:hAnsi="Rubik Light" w:cs="Rubik Light"/>
          <w:i/>
          <w:sz w:val="24"/>
          <w:szCs w:val="24"/>
          <w:shd w:val="clear" w:color="auto" w:fill="FFFFFF"/>
        </w:rPr>
      </w:pPr>
      <w:r w:rsidRPr="007C074C">
        <w:rPr>
          <w:rFonts w:ascii="Rubik Light" w:hAnsi="Rubik Light" w:cs="Rubik Light"/>
          <w:i/>
          <w:sz w:val="24"/>
          <w:szCs w:val="24"/>
          <w:shd w:val="clear" w:color="auto" w:fill="FFFFFF"/>
        </w:rPr>
        <w:t>Parágrafo único. Os servidores ocupantes de cargo de provimento efetivo que forem nomeados para o exercício de um cargo de provimento em comissão, poderão optar pelo recebimento integral do valor fixado para o cargo em comissão a que foi nomeado ou pelo recebimento do vencimento do cargo efetivo, acrescido de 50% (cinquenta por cento) do valor fixado para o cargo de provimento em comissão.” (NR)</w:t>
      </w:r>
    </w:p>
    <w:p w:rsidR="007C074C" w:rsidRPr="007C074C" w:rsidRDefault="007C074C" w:rsidP="007C074C">
      <w:pPr>
        <w:ind w:right="-1"/>
        <w:jc w:val="both"/>
        <w:rPr>
          <w:rFonts w:ascii="Rubik Light" w:hAnsi="Rubik Light" w:cs="Rubik Light"/>
          <w:sz w:val="24"/>
          <w:szCs w:val="24"/>
        </w:rPr>
      </w:pPr>
    </w:p>
    <w:p w:rsidR="007C074C" w:rsidRPr="007C074C" w:rsidRDefault="007C074C" w:rsidP="007C074C">
      <w:pPr>
        <w:ind w:right="-1"/>
        <w:jc w:val="both"/>
        <w:rPr>
          <w:rFonts w:ascii="Rubik Light" w:hAnsi="Rubik Light" w:cs="Rubik Light"/>
          <w:sz w:val="24"/>
          <w:szCs w:val="24"/>
        </w:rPr>
      </w:pPr>
      <w:r w:rsidRPr="007C074C">
        <w:rPr>
          <w:rFonts w:ascii="Rubik Light" w:hAnsi="Rubik Light" w:cs="Rubik Light"/>
          <w:b/>
          <w:sz w:val="24"/>
          <w:szCs w:val="24"/>
        </w:rPr>
        <w:t>Art. 7º</w:t>
      </w:r>
      <w:r w:rsidRPr="007C074C">
        <w:rPr>
          <w:rFonts w:ascii="Rubik Light" w:hAnsi="Rubik Light" w:cs="Rubik Light"/>
          <w:sz w:val="24"/>
          <w:szCs w:val="24"/>
        </w:rPr>
        <w:t xml:space="preserve"> O art. 30 da Lei nº 1.135/2006 passa a vigorar com a seguinte redação</w:t>
      </w:r>
      <w:r w:rsidRPr="007C074C">
        <w:rPr>
          <w:rFonts w:ascii="Rubik Light" w:hAnsi="Rubik Light" w:cs="Rubik Light"/>
          <w:sz w:val="24"/>
          <w:szCs w:val="24"/>
          <w:shd w:val="clear" w:color="auto" w:fill="FFFFFF"/>
        </w:rPr>
        <w:t>:</w:t>
      </w:r>
    </w:p>
    <w:p w:rsidR="007C074C" w:rsidRPr="007C074C" w:rsidRDefault="007C074C" w:rsidP="007C074C">
      <w:pPr>
        <w:ind w:right="-1"/>
        <w:jc w:val="both"/>
        <w:rPr>
          <w:rFonts w:ascii="Rubik Light" w:hAnsi="Rubik Light" w:cs="Rubik Light"/>
          <w:sz w:val="24"/>
          <w:szCs w:val="24"/>
        </w:rPr>
      </w:pPr>
    </w:p>
    <w:p w:rsidR="007C074C" w:rsidRPr="007C074C" w:rsidRDefault="007C074C" w:rsidP="007C074C">
      <w:pPr>
        <w:pStyle w:val="Heading1"/>
        <w:ind w:left="567"/>
        <w:jc w:val="both"/>
        <w:rPr>
          <w:rFonts w:ascii="Rubik Light" w:hAnsi="Rubik Light" w:cs="Rubik Light"/>
          <w:b w:val="0"/>
          <w:i/>
          <w:sz w:val="24"/>
          <w:szCs w:val="24"/>
          <w:shd w:val="clear" w:color="auto" w:fill="FFFFFF"/>
        </w:rPr>
      </w:pPr>
      <w:r w:rsidRPr="007C074C">
        <w:rPr>
          <w:rFonts w:ascii="Rubik Light" w:hAnsi="Rubik Light" w:cs="Rubik Light"/>
          <w:b w:val="0"/>
          <w:i/>
          <w:sz w:val="24"/>
          <w:szCs w:val="24"/>
        </w:rPr>
        <w:t>“</w:t>
      </w:r>
      <w:r w:rsidRPr="007C074C">
        <w:rPr>
          <w:rFonts w:ascii="Rubik Light" w:hAnsi="Rubik Light" w:cs="Rubik Light"/>
          <w:b w:val="0"/>
          <w:i/>
          <w:sz w:val="24"/>
          <w:szCs w:val="24"/>
          <w:shd w:val="clear" w:color="auto" w:fill="FFFFFF"/>
        </w:rPr>
        <w:t>Art. 30 Os pontos individuais auferidos pelos servidores que ultrapassarem no mês o limite máximo fixado para pagamento serão levados a crédito para aproveitamento no mês seguinte com o teto de 20.000 (vinte mil) pontos.”</w:t>
      </w:r>
    </w:p>
    <w:p w:rsidR="007C074C" w:rsidRPr="007C074C" w:rsidRDefault="007C074C" w:rsidP="007C074C">
      <w:pPr>
        <w:pStyle w:val="Heading1"/>
        <w:ind w:left="567"/>
        <w:jc w:val="both"/>
        <w:rPr>
          <w:rFonts w:ascii="Rubik Light" w:hAnsi="Rubik Light" w:cs="Rubik Light"/>
          <w:b w:val="0"/>
          <w:i/>
          <w:sz w:val="24"/>
          <w:szCs w:val="24"/>
          <w:shd w:val="clear" w:color="auto" w:fill="FFFFFF"/>
        </w:rPr>
      </w:pPr>
      <w:r w:rsidRPr="007C074C">
        <w:rPr>
          <w:rFonts w:ascii="Rubik Light" w:hAnsi="Rubik Light" w:cs="Rubik Light"/>
          <w:b w:val="0"/>
          <w:i/>
          <w:sz w:val="24"/>
          <w:szCs w:val="24"/>
          <w:shd w:val="clear" w:color="auto" w:fill="FFFFFF"/>
        </w:rPr>
        <w:t>§ 1º O saldo individual citado no caput deste artigo não poderá ultrapassar 20.000 (vinte mil) pontos, sendo que o que exceder esta quantia não será considerado para efeito de pagamento.</w:t>
      </w:r>
    </w:p>
    <w:p w:rsidR="007C074C" w:rsidRPr="007C074C" w:rsidRDefault="007C074C" w:rsidP="007C074C">
      <w:pPr>
        <w:pStyle w:val="Heading1"/>
        <w:ind w:left="567"/>
        <w:jc w:val="both"/>
        <w:rPr>
          <w:rFonts w:ascii="Rubik Light" w:hAnsi="Rubik Light" w:cs="Rubik Light"/>
          <w:b w:val="0"/>
          <w:i/>
          <w:sz w:val="24"/>
          <w:szCs w:val="24"/>
          <w:shd w:val="clear" w:color="auto" w:fill="FFFFFF"/>
        </w:rPr>
      </w:pPr>
      <w:r w:rsidRPr="007C074C">
        <w:rPr>
          <w:rFonts w:ascii="Rubik Light" w:hAnsi="Rubik Light" w:cs="Rubik Light"/>
          <w:b w:val="0"/>
          <w:i/>
          <w:sz w:val="24"/>
          <w:szCs w:val="24"/>
          <w:shd w:val="clear" w:color="auto" w:fill="FFFFFF"/>
        </w:rPr>
        <w:t>§2º O saldo levado a credito em conta especial do servidor efetivo poderá ser sacado em sua totalidade quando for constatada a ocorrência de alguns dos casos previstos neste parágrafo, a critério do Poder Executivo, com exceção ao dispõe o inciso XII:”</w:t>
      </w:r>
    </w:p>
    <w:p w:rsidR="007C074C" w:rsidRPr="007C074C" w:rsidRDefault="007C074C" w:rsidP="007C074C">
      <w:pPr>
        <w:pStyle w:val="Heading1"/>
        <w:ind w:left="567"/>
        <w:jc w:val="both"/>
        <w:rPr>
          <w:rFonts w:ascii="Rubik Light" w:hAnsi="Rubik Light" w:cs="Rubik Light"/>
          <w:b w:val="0"/>
          <w:i/>
          <w:sz w:val="24"/>
          <w:szCs w:val="24"/>
          <w:shd w:val="clear" w:color="auto" w:fill="FFFFFF"/>
        </w:rPr>
      </w:pPr>
      <w:r w:rsidRPr="007C074C">
        <w:rPr>
          <w:rFonts w:ascii="Rubik Light" w:hAnsi="Rubik Light" w:cs="Rubik Light"/>
          <w:b w:val="0"/>
          <w:i/>
          <w:sz w:val="24"/>
          <w:szCs w:val="24"/>
          <w:shd w:val="clear" w:color="auto" w:fill="FFFFFF"/>
        </w:rPr>
        <w:t>I – na aposentadoria;</w:t>
      </w:r>
    </w:p>
    <w:p w:rsidR="007C074C" w:rsidRPr="007C074C" w:rsidRDefault="007C074C" w:rsidP="007C074C">
      <w:pPr>
        <w:pStyle w:val="Heading1"/>
        <w:ind w:left="567"/>
        <w:jc w:val="both"/>
        <w:rPr>
          <w:rFonts w:ascii="Rubik Light" w:hAnsi="Rubik Light" w:cs="Rubik Light"/>
          <w:b w:val="0"/>
          <w:i/>
          <w:sz w:val="24"/>
          <w:szCs w:val="24"/>
          <w:shd w:val="clear" w:color="auto" w:fill="FFFFFF"/>
        </w:rPr>
      </w:pPr>
      <w:r w:rsidRPr="007C074C">
        <w:rPr>
          <w:rFonts w:ascii="Rubik Light" w:hAnsi="Rubik Light" w:cs="Rubik Light"/>
          <w:b w:val="0"/>
          <w:i/>
          <w:sz w:val="24"/>
          <w:szCs w:val="24"/>
          <w:shd w:val="clear" w:color="auto" w:fill="FFFFFF"/>
        </w:rPr>
        <w:t>II – com o falecimento do servidor;</w:t>
      </w:r>
    </w:p>
    <w:p w:rsidR="007C074C" w:rsidRPr="007C074C" w:rsidRDefault="007C074C" w:rsidP="007C074C">
      <w:pPr>
        <w:pStyle w:val="Heading1"/>
        <w:ind w:left="567"/>
        <w:jc w:val="both"/>
        <w:rPr>
          <w:rFonts w:ascii="Rubik Light" w:hAnsi="Rubik Light" w:cs="Rubik Light"/>
          <w:b w:val="0"/>
          <w:i/>
          <w:sz w:val="24"/>
          <w:szCs w:val="24"/>
          <w:shd w:val="clear" w:color="auto" w:fill="FFFFFF"/>
        </w:rPr>
      </w:pPr>
      <w:r w:rsidRPr="007C074C">
        <w:rPr>
          <w:rFonts w:ascii="Rubik Light" w:hAnsi="Rubik Light" w:cs="Rubik Light"/>
          <w:b w:val="0"/>
          <w:i/>
          <w:sz w:val="24"/>
          <w:szCs w:val="24"/>
          <w:shd w:val="clear" w:color="auto" w:fill="FFFFFF"/>
        </w:rPr>
        <w:t>III – em caso de exoneração, a pedido;</w:t>
      </w:r>
    </w:p>
    <w:p w:rsidR="007C074C" w:rsidRPr="007C074C" w:rsidRDefault="007C074C" w:rsidP="007C074C">
      <w:pPr>
        <w:pStyle w:val="Heading1"/>
        <w:ind w:left="567"/>
        <w:jc w:val="both"/>
        <w:rPr>
          <w:rFonts w:ascii="Rubik Light" w:hAnsi="Rubik Light" w:cs="Rubik Light"/>
          <w:b w:val="0"/>
          <w:i/>
          <w:sz w:val="24"/>
          <w:szCs w:val="24"/>
          <w:shd w:val="clear" w:color="auto" w:fill="FFFFFF"/>
        </w:rPr>
      </w:pPr>
      <w:r w:rsidRPr="007C074C">
        <w:rPr>
          <w:rFonts w:ascii="Rubik Light" w:hAnsi="Rubik Light" w:cs="Rubik Light"/>
          <w:b w:val="0"/>
          <w:i/>
          <w:sz w:val="24"/>
          <w:szCs w:val="24"/>
          <w:shd w:val="clear" w:color="auto" w:fill="FFFFFF"/>
        </w:rPr>
        <w:t xml:space="preserve">IV – em caso de necessidade pessoal, urgente e grave decorrente de desastre natural, que tenha atingido a área de residência do servidor, ou ainda, situação de emergência de calamidade pública, quando for assim reconhecida pelo Poder Executivo; </w:t>
      </w:r>
    </w:p>
    <w:p w:rsidR="007C074C" w:rsidRPr="007C074C" w:rsidRDefault="007C074C" w:rsidP="007C074C">
      <w:pPr>
        <w:pStyle w:val="Heading1"/>
        <w:ind w:left="567"/>
        <w:jc w:val="both"/>
        <w:rPr>
          <w:rFonts w:ascii="Rubik Light" w:hAnsi="Rubik Light" w:cs="Rubik Light"/>
          <w:b w:val="0"/>
          <w:i/>
          <w:sz w:val="24"/>
          <w:szCs w:val="24"/>
          <w:shd w:val="clear" w:color="auto" w:fill="FFFFFF"/>
        </w:rPr>
      </w:pPr>
      <w:r w:rsidRPr="007C074C">
        <w:rPr>
          <w:rFonts w:ascii="Rubik Light" w:hAnsi="Rubik Light" w:cs="Rubik Light"/>
          <w:b w:val="0"/>
          <w:i/>
          <w:sz w:val="24"/>
          <w:szCs w:val="24"/>
          <w:shd w:val="clear" w:color="auto" w:fill="FFFFFF"/>
        </w:rPr>
        <w:t>V – quando o servidor for portador do vírus HIV;</w:t>
      </w:r>
    </w:p>
    <w:p w:rsidR="007C074C" w:rsidRPr="007C074C" w:rsidRDefault="007C074C" w:rsidP="007C074C">
      <w:pPr>
        <w:pStyle w:val="Heading1"/>
        <w:ind w:left="567"/>
        <w:jc w:val="both"/>
        <w:rPr>
          <w:rFonts w:ascii="Rubik Light" w:hAnsi="Rubik Light" w:cs="Rubik Light"/>
          <w:b w:val="0"/>
          <w:i/>
          <w:sz w:val="24"/>
          <w:szCs w:val="24"/>
          <w:shd w:val="clear" w:color="auto" w:fill="FFFFFF"/>
        </w:rPr>
      </w:pPr>
      <w:r w:rsidRPr="007C074C">
        <w:rPr>
          <w:rFonts w:ascii="Rubik Light" w:hAnsi="Rubik Light" w:cs="Rubik Light"/>
          <w:b w:val="0"/>
          <w:i/>
          <w:sz w:val="24"/>
          <w:szCs w:val="24"/>
          <w:shd w:val="clear" w:color="auto" w:fill="FFFFFF"/>
        </w:rPr>
        <w:t>VI – quando o servidor estiver acometido de neoplasia maligna – câncer;</w:t>
      </w:r>
    </w:p>
    <w:p w:rsidR="007C074C" w:rsidRPr="007C074C" w:rsidRDefault="007C074C" w:rsidP="007C074C">
      <w:pPr>
        <w:pStyle w:val="Heading1"/>
        <w:ind w:left="567"/>
        <w:jc w:val="both"/>
        <w:rPr>
          <w:rFonts w:ascii="Rubik Light" w:hAnsi="Rubik Light" w:cs="Rubik Light"/>
          <w:b w:val="0"/>
          <w:i/>
          <w:sz w:val="24"/>
          <w:szCs w:val="24"/>
          <w:shd w:val="clear" w:color="auto" w:fill="FFFFFF"/>
        </w:rPr>
      </w:pPr>
      <w:r w:rsidRPr="007C074C">
        <w:rPr>
          <w:rFonts w:ascii="Rubik Light" w:hAnsi="Rubik Light" w:cs="Rubik Light"/>
          <w:b w:val="0"/>
          <w:i/>
          <w:sz w:val="24"/>
          <w:szCs w:val="24"/>
          <w:shd w:val="clear" w:color="auto" w:fill="FFFFFF"/>
        </w:rPr>
        <w:t>VII – quando o servidor estiver em estágio terminal ou acometido de doença grave ou ainda parente de primeiro grau;</w:t>
      </w:r>
    </w:p>
    <w:p w:rsidR="007C074C" w:rsidRPr="007C074C" w:rsidRDefault="007C074C" w:rsidP="007C074C">
      <w:pPr>
        <w:pStyle w:val="Heading1"/>
        <w:ind w:left="567"/>
        <w:jc w:val="both"/>
        <w:rPr>
          <w:rFonts w:ascii="Rubik Light" w:hAnsi="Rubik Light" w:cs="Rubik Light"/>
          <w:b w:val="0"/>
          <w:i/>
          <w:sz w:val="24"/>
          <w:szCs w:val="24"/>
          <w:shd w:val="clear" w:color="auto" w:fill="FFFFFF"/>
        </w:rPr>
      </w:pPr>
      <w:r w:rsidRPr="007C074C">
        <w:rPr>
          <w:rFonts w:ascii="Rubik Light" w:hAnsi="Rubik Light" w:cs="Rubik Light"/>
          <w:b w:val="0"/>
          <w:i/>
          <w:sz w:val="24"/>
          <w:szCs w:val="24"/>
          <w:shd w:val="clear" w:color="auto" w:fill="FFFFFF"/>
        </w:rPr>
        <w:lastRenderedPageBreak/>
        <w:t>VIII – na amortização, liquidação de saldo devedor e pagamento de parte das prestações adquiridas em sistemas imobiliários – SFH;</w:t>
      </w:r>
    </w:p>
    <w:p w:rsidR="007C074C" w:rsidRPr="007C074C" w:rsidRDefault="007C074C" w:rsidP="007C074C">
      <w:pPr>
        <w:pStyle w:val="Heading1"/>
        <w:ind w:left="567"/>
        <w:jc w:val="both"/>
        <w:rPr>
          <w:rFonts w:ascii="Rubik Light" w:hAnsi="Rubik Light" w:cs="Rubik Light"/>
          <w:b w:val="0"/>
          <w:i/>
          <w:sz w:val="24"/>
          <w:szCs w:val="24"/>
          <w:shd w:val="clear" w:color="auto" w:fill="FFFFFF"/>
        </w:rPr>
      </w:pPr>
      <w:r w:rsidRPr="007C074C">
        <w:rPr>
          <w:rFonts w:ascii="Rubik Light" w:hAnsi="Rubik Light" w:cs="Rubik Light"/>
          <w:b w:val="0"/>
          <w:i/>
          <w:sz w:val="24"/>
          <w:szCs w:val="24"/>
          <w:shd w:val="clear" w:color="auto" w:fill="FFFFFF"/>
        </w:rPr>
        <w:t>IX - para aquisição de moradia própria;</w:t>
      </w:r>
    </w:p>
    <w:p w:rsidR="007C074C" w:rsidRPr="007C074C" w:rsidRDefault="007C074C" w:rsidP="007C074C">
      <w:pPr>
        <w:pStyle w:val="Heading1"/>
        <w:ind w:left="567"/>
        <w:jc w:val="both"/>
        <w:rPr>
          <w:rFonts w:ascii="Rubik Light" w:hAnsi="Rubik Light" w:cs="Rubik Light"/>
          <w:b w:val="0"/>
          <w:i/>
          <w:sz w:val="24"/>
          <w:szCs w:val="24"/>
          <w:shd w:val="clear" w:color="auto" w:fill="FFFFFF"/>
        </w:rPr>
      </w:pPr>
      <w:r w:rsidRPr="007C074C">
        <w:rPr>
          <w:rFonts w:ascii="Rubik Light" w:hAnsi="Rubik Light" w:cs="Rubik Light"/>
          <w:b w:val="0"/>
          <w:i/>
          <w:sz w:val="24"/>
          <w:szCs w:val="24"/>
          <w:shd w:val="clear" w:color="auto" w:fill="FFFFFF"/>
        </w:rPr>
        <w:t>X – quando do recebimento do Plano de Demissão Voluntária – PDV;</w:t>
      </w:r>
    </w:p>
    <w:p w:rsidR="007C074C" w:rsidRPr="007C074C" w:rsidRDefault="007C074C" w:rsidP="007C074C">
      <w:pPr>
        <w:pStyle w:val="Heading1"/>
        <w:ind w:left="567"/>
        <w:jc w:val="both"/>
        <w:rPr>
          <w:rFonts w:ascii="Rubik Light" w:hAnsi="Rubik Light" w:cs="Rubik Light"/>
          <w:b w:val="0"/>
          <w:i/>
          <w:sz w:val="24"/>
          <w:szCs w:val="24"/>
          <w:shd w:val="clear" w:color="auto" w:fill="FFFFFF"/>
        </w:rPr>
      </w:pPr>
      <w:r w:rsidRPr="007C074C">
        <w:rPr>
          <w:rFonts w:ascii="Rubik Light" w:hAnsi="Rubik Light" w:cs="Rubik Light"/>
          <w:b w:val="0"/>
          <w:i/>
          <w:sz w:val="24"/>
          <w:szCs w:val="24"/>
          <w:shd w:val="clear" w:color="auto" w:fill="FFFFFF"/>
        </w:rPr>
        <w:t>XI- quando o servidor estiver hospitalizado em situação grave ou precisando de cirurgia ou ainda parente de primeiro grau;</w:t>
      </w:r>
    </w:p>
    <w:p w:rsidR="007C074C" w:rsidRPr="007C074C" w:rsidRDefault="007C074C" w:rsidP="007C074C">
      <w:pPr>
        <w:pStyle w:val="Heading1"/>
        <w:ind w:left="567"/>
        <w:jc w:val="both"/>
        <w:rPr>
          <w:rFonts w:ascii="Rubik Light" w:hAnsi="Rubik Light" w:cs="Rubik Light"/>
          <w:b w:val="0"/>
          <w:i/>
          <w:sz w:val="24"/>
          <w:szCs w:val="24"/>
          <w:shd w:val="clear" w:color="auto" w:fill="FFFFFF"/>
        </w:rPr>
      </w:pPr>
      <w:r w:rsidRPr="007C074C">
        <w:rPr>
          <w:rFonts w:ascii="Rubik Light" w:hAnsi="Rubik Light" w:cs="Rubik Light"/>
          <w:b w:val="0"/>
          <w:i/>
          <w:sz w:val="24"/>
          <w:szCs w:val="24"/>
          <w:shd w:val="clear" w:color="auto" w:fill="FFFFFF"/>
        </w:rPr>
        <w:t>XII -</w:t>
      </w:r>
      <w:r w:rsidRPr="007C074C">
        <w:rPr>
          <w:rFonts w:ascii="Rubik Light" w:hAnsi="Rubik Light" w:cs="Rubik Light"/>
          <w:b w:val="0"/>
          <w:i/>
          <w:sz w:val="24"/>
          <w:szCs w:val="24"/>
        </w:rPr>
        <w:t xml:space="preserve"> </w:t>
      </w:r>
      <w:r w:rsidRPr="007C074C">
        <w:rPr>
          <w:rFonts w:ascii="Rubik Light" w:hAnsi="Rubik Light" w:cs="Rubik Light"/>
          <w:b w:val="0"/>
          <w:i/>
          <w:sz w:val="24"/>
          <w:szCs w:val="24"/>
          <w:shd w:val="clear" w:color="auto" w:fill="FFFFFF"/>
        </w:rPr>
        <w:t>investimento em estudos que habilite, aperfeiçoe, qualifique ou capacite o servidor efetivo para o melhor desempenho das funções inerentes ao cargo, limitado o saque, ao valor da habilitação, aperfeiçoamento, qualificação ou capacitação;</w:t>
      </w:r>
    </w:p>
    <w:p w:rsidR="007C074C" w:rsidRDefault="007C074C" w:rsidP="007C074C">
      <w:pPr>
        <w:pStyle w:val="Heading1"/>
        <w:ind w:left="567"/>
        <w:jc w:val="both"/>
        <w:rPr>
          <w:rFonts w:ascii="Rubik Light" w:hAnsi="Rubik Light" w:cs="Rubik Light"/>
          <w:b w:val="0"/>
          <w:i/>
          <w:sz w:val="24"/>
          <w:szCs w:val="24"/>
        </w:rPr>
      </w:pPr>
      <w:r w:rsidRPr="007C074C">
        <w:rPr>
          <w:rFonts w:ascii="Rubik Light" w:hAnsi="Rubik Light" w:cs="Rubik Light"/>
          <w:b w:val="0"/>
          <w:i/>
          <w:sz w:val="24"/>
          <w:szCs w:val="24"/>
          <w:shd w:val="clear" w:color="auto" w:fill="FFFFFF"/>
        </w:rPr>
        <w:t>§ 3º O pagamento de saldo de pontos de cada servidor poderá ser requerido no período de gozo de férias, não ultrapassando o limite de 1.500 pontos.</w:t>
      </w:r>
    </w:p>
    <w:p w:rsidR="007C074C" w:rsidRDefault="007C074C" w:rsidP="007C074C">
      <w:pPr>
        <w:ind w:right="-1"/>
        <w:jc w:val="both"/>
        <w:rPr>
          <w:rFonts w:ascii="Rubik Light" w:hAnsi="Rubik Light" w:cs="Rubik Light"/>
          <w:sz w:val="24"/>
          <w:szCs w:val="24"/>
        </w:rPr>
      </w:pPr>
    </w:p>
    <w:p w:rsidR="007C074C" w:rsidRDefault="007C074C" w:rsidP="007C074C">
      <w:pPr>
        <w:ind w:right="-1"/>
        <w:jc w:val="both"/>
        <w:rPr>
          <w:rFonts w:ascii="Rubik Light" w:hAnsi="Rubik Light" w:cs="Rubik Light"/>
          <w:sz w:val="24"/>
          <w:szCs w:val="24"/>
        </w:rPr>
      </w:pPr>
      <w:r>
        <w:rPr>
          <w:rFonts w:ascii="Rubik Light" w:hAnsi="Rubik Light" w:cs="Rubik Light"/>
          <w:b/>
          <w:sz w:val="24"/>
          <w:szCs w:val="24"/>
        </w:rPr>
        <w:t>Art. 8º</w:t>
      </w:r>
      <w:r>
        <w:rPr>
          <w:rFonts w:ascii="Rubik Light" w:hAnsi="Rubik Light" w:cs="Rubik Light"/>
          <w:sz w:val="24"/>
          <w:szCs w:val="24"/>
        </w:rPr>
        <w:t xml:space="preserve"> </w:t>
      </w:r>
      <w:r>
        <w:rPr>
          <w:rStyle w:val="apple-converted-space"/>
          <w:rFonts w:ascii="Rubik Light" w:hAnsi="Rubik Light" w:cs="Rubik Light"/>
          <w:sz w:val="24"/>
          <w:szCs w:val="24"/>
          <w:shd w:val="clear" w:color="auto" w:fill="FFFFFF"/>
        </w:rPr>
        <w:t xml:space="preserve">Fica alterado o Anexo III – Da Tabela de Vencimentos - da Lei </w:t>
      </w:r>
      <w:r>
        <w:rPr>
          <w:rFonts w:ascii="Rubik Light" w:hAnsi="Rubik Light" w:cs="Rubik Light"/>
          <w:sz w:val="24"/>
          <w:szCs w:val="24"/>
          <w:shd w:val="clear" w:color="auto" w:fill="FFFFFF"/>
        </w:rPr>
        <w:t>1.135/2006, que passa a vigorar na forma do Anexo da presente Lei</w:t>
      </w:r>
    </w:p>
    <w:p w:rsidR="007C074C" w:rsidRDefault="007C074C" w:rsidP="007C074C">
      <w:pPr>
        <w:ind w:right="-1"/>
        <w:jc w:val="both"/>
        <w:rPr>
          <w:rFonts w:ascii="Rubik Light" w:hAnsi="Rubik Light" w:cs="Rubik Light"/>
          <w:sz w:val="24"/>
          <w:szCs w:val="24"/>
        </w:rPr>
      </w:pPr>
    </w:p>
    <w:p w:rsidR="007C074C" w:rsidRDefault="007C074C" w:rsidP="007C074C">
      <w:pPr>
        <w:ind w:right="-1"/>
        <w:jc w:val="both"/>
        <w:rPr>
          <w:rFonts w:ascii="Rubik Light" w:hAnsi="Rubik Light" w:cs="Rubik Light"/>
          <w:sz w:val="24"/>
          <w:szCs w:val="24"/>
        </w:rPr>
      </w:pPr>
      <w:r>
        <w:rPr>
          <w:rFonts w:ascii="Rubik Light" w:hAnsi="Rubik Light" w:cs="Rubik Light"/>
          <w:b/>
          <w:sz w:val="24"/>
          <w:szCs w:val="24"/>
        </w:rPr>
        <w:t xml:space="preserve">Art. 9º </w:t>
      </w:r>
      <w:r>
        <w:rPr>
          <w:rFonts w:ascii="Rubik Light" w:hAnsi="Rubik Light" w:cs="Rubik Light"/>
          <w:sz w:val="24"/>
          <w:szCs w:val="24"/>
        </w:rPr>
        <w:t>Esta Lei entra em vigor na data da sua publicação.</w:t>
      </w:r>
    </w:p>
    <w:p w:rsidR="007C074C" w:rsidRDefault="007C074C" w:rsidP="007C074C">
      <w:pPr>
        <w:ind w:right="-1"/>
        <w:jc w:val="both"/>
        <w:rPr>
          <w:rFonts w:ascii="Rubik Light" w:hAnsi="Rubik Light" w:cs="Rubik Light"/>
          <w:sz w:val="24"/>
          <w:szCs w:val="24"/>
        </w:rPr>
      </w:pPr>
    </w:p>
    <w:p w:rsidR="007C074C" w:rsidRDefault="007C074C" w:rsidP="007C074C">
      <w:pPr>
        <w:ind w:right="-1"/>
        <w:jc w:val="both"/>
        <w:rPr>
          <w:rFonts w:ascii="Rubik Light" w:hAnsi="Rubik Light" w:cs="Rubik Light"/>
          <w:sz w:val="24"/>
          <w:szCs w:val="24"/>
        </w:rPr>
      </w:pPr>
      <w:r>
        <w:rPr>
          <w:rFonts w:ascii="Rubik Light" w:hAnsi="Rubik Light" w:cs="Rubik Light"/>
          <w:b/>
          <w:sz w:val="24"/>
          <w:szCs w:val="24"/>
        </w:rPr>
        <w:t xml:space="preserve">Art. 10. </w:t>
      </w:r>
      <w:r>
        <w:rPr>
          <w:rFonts w:ascii="Rubik Light" w:hAnsi="Rubik Light" w:cs="Rubik Light"/>
          <w:sz w:val="24"/>
          <w:szCs w:val="24"/>
        </w:rPr>
        <w:t>Revogam-se as disposições em contrário.</w:t>
      </w:r>
    </w:p>
    <w:p w:rsidR="007C074C" w:rsidRDefault="007C074C" w:rsidP="007C074C">
      <w:pPr>
        <w:ind w:right="-1"/>
        <w:jc w:val="both"/>
        <w:rPr>
          <w:rFonts w:ascii="Rubik Light" w:hAnsi="Rubik Light" w:cs="Rubik Light"/>
          <w:sz w:val="24"/>
          <w:szCs w:val="24"/>
        </w:rPr>
      </w:pPr>
    </w:p>
    <w:p w:rsidR="007C074C" w:rsidRDefault="007C074C" w:rsidP="007C074C">
      <w:pPr>
        <w:jc w:val="both"/>
        <w:rPr>
          <w:rFonts w:ascii="Rubik Light" w:hAnsi="Rubik Light" w:cs="Rubik Light"/>
          <w:sz w:val="24"/>
          <w:szCs w:val="24"/>
        </w:rPr>
      </w:pPr>
    </w:p>
    <w:p w:rsidR="007C074C" w:rsidRDefault="007C074C" w:rsidP="007C074C">
      <w:pPr>
        <w:ind w:right="-1"/>
        <w:jc w:val="both"/>
        <w:rPr>
          <w:rFonts w:ascii="Rubik Light" w:hAnsi="Rubik Light" w:cs="Rubik Light"/>
          <w:sz w:val="24"/>
          <w:szCs w:val="24"/>
        </w:rPr>
      </w:pPr>
      <w:bookmarkStart w:id="0" w:name="_Toc166552290"/>
      <w:r>
        <w:rPr>
          <w:rFonts w:ascii="Rubik Light" w:hAnsi="Rubik Light" w:cs="Rubik Light"/>
          <w:sz w:val="24"/>
          <w:szCs w:val="24"/>
        </w:rPr>
        <w:t>Gabinete do Prefeito Municipal de Campo Novo do Parecis, aos xx dias do mês de fevereiro de 2019.</w:t>
      </w:r>
    </w:p>
    <w:p w:rsidR="007C074C" w:rsidRDefault="007C074C" w:rsidP="007C074C">
      <w:pPr>
        <w:jc w:val="center"/>
        <w:rPr>
          <w:rFonts w:ascii="Rubik Light" w:hAnsi="Rubik Light" w:cs="Rubik Light"/>
          <w:b/>
          <w:sz w:val="24"/>
          <w:szCs w:val="24"/>
        </w:rPr>
      </w:pPr>
      <w:r>
        <w:rPr>
          <w:rFonts w:ascii="Rubik Light" w:hAnsi="Rubik Light" w:cs="Rubik Light"/>
          <w:b/>
          <w:sz w:val="24"/>
          <w:szCs w:val="24"/>
        </w:rPr>
        <w:t>RAFAEL MACHADO</w:t>
      </w:r>
    </w:p>
    <w:p w:rsidR="007C074C" w:rsidRDefault="007C074C" w:rsidP="007C074C">
      <w:pPr>
        <w:jc w:val="center"/>
        <w:rPr>
          <w:rFonts w:ascii="Rubik Light" w:hAnsi="Rubik Light" w:cs="Rubik Light"/>
          <w:b/>
          <w:i/>
          <w:iCs/>
          <w:sz w:val="24"/>
          <w:szCs w:val="24"/>
        </w:rPr>
      </w:pPr>
      <w:r>
        <w:rPr>
          <w:rFonts w:ascii="Rubik Light" w:hAnsi="Rubik Light" w:cs="Rubik Light"/>
          <w:b/>
          <w:iCs/>
          <w:sz w:val="24"/>
          <w:szCs w:val="24"/>
        </w:rPr>
        <w:t>Prefeito Municipal</w:t>
      </w:r>
    </w:p>
    <w:p w:rsidR="007C074C" w:rsidRDefault="007C074C" w:rsidP="007C074C">
      <w:pPr>
        <w:jc w:val="center"/>
        <w:rPr>
          <w:rFonts w:ascii="Rubik Light" w:hAnsi="Rubik Light" w:cs="Rubik Light"/>
          <w:b/>
          <w:i/>
          <w:iCs/>
          <w:sz w:val="24"/>
          <w:szCs w:val="24"/>
        </w:rPr>
      </w:pPr>
    </w:p>
    <w:p w:rsidR="007C074C" w:rsidRDefault="007C074C" w:rsidP="007C074C">
      <w:pPr>
        <w:pStyle w:val="Corpodetexto"/>
        <w:ind w:firstLine="1416"/>
        <w:jc w:val="both"/>
        <w:rPr>
          <w:rFonts w:ascii="Rubik Light" w:hAnsi="Rubik Light" w:cs="Rubik Light"/>
          <w:color w:val="000000"/>
        </w:rPr>
      </w:pPr>
      <w:r>
        <w:rPr>
          <w:rFonts w:ascii="Rubik Light" w:hAnsi="Rubik Light" w:cs="Rubik Light"/>
          <w:color w:val="000000"/>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7C074C" w:rsidRDefault="007C074C" w:rsidP="007C074C">
      <w:pPr>
        <w:pStyle w:val="Ttulo6"/>
        <w:spacing w:before="0"/>
        <w:jc w:val="center"/>
        <w:rPr>
          <w:rFonts w:ascii="Rubik Light" w:hAnsi="Rubik Light" w:cs="Rubik Light"/>
          <w:b/>
          <w:i w:val="0"/>
          <w:color w:val="auto"/>
        </w:rPr>
      </w:pPr>
      <w:r>
        <w:rPr>
          <w:rFonts w:ascii="Rubik Light" w:hAnsi="Rubik Light" w:cs="Rubik Light"/>
          <w:b/>
          <w:i w:val="0"/>
          <w:color w:val="auto"/>
        </w:rPr>
        <w:t>GIRLEI AUGUSTO PEZ BOLZAN</w:t>
      </w:r>
    </w:p>
    <w:p w:rsidR="007C074C" w:rsidRDefault="007C074C" w:rsidP="007C074C">
      <w:pPr>
        <w:ind w:right="-51"/>
        <w:jc w:val="center"/>
        <w:rPr>
          <w:rFonts w:ascii="Rubik Light" w:hAnsi="Rubik Light" w:cs="Rubik Light"/>
          <w:sz w:val="24"/>
          <w:szCs w:val="24"/>
        </w:rPr>
      </w:pPr>
      <w:r>
        <w:rPr>
          <w:rFonts w:ascii="Rubik Light" w:hAnsi="Rubik Light" w:cs="Rubik Light"/>
          <w:b/>
          <w:sz w:val="24"/>
          <w:szCs w:val="24"/>
        </w:rPr>
        <w:t>Secretário Municipal de Administração</w:t>
      </w:r>
      <w:bookmarkEnd w:id="0"/>
    </w:p>
    <w:p w:rsidR="004D4398" w:rsidRPr="007C074C" w:rsidRDefault="004D4398" w:rsidP="007C074C"/>
    <w:sectPr w:rsidR="004D4398" w:rsidRPr="007C074C" w:rsidSect="00502AF7">
      <w:pgSz w:w="11907" w:h="16840" w:code="9"/>
      <w:pgMar w:top="1021" w:right="1701" w:bottom="567" w:left="1797" w:header="284"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6A7" w:rsidRDefault="007B06A7" w:rsidP="00502AF7">
      <w:r>
        <w:separator/>
      </w:r>
    </w:p>
  </w:endnote>
  <w:endnote w:type="continuationSeparator" w:id="1">
    <w:p w:rsidR="007B06A7" w:rsidRDefault="007B06A7" w:rsidP="00502A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ubik Light">
    <w:altName w:val="Arial"/>
    <w:charset w:val="00"/>
    <w:family w:val="auto"/>
    <w:pitch w:val="variable"/>
    <w:sig w:usb0="00000000" w:usb1="5000205B" w:usb2="00000000" w:usb3="00000000" w:csb0="000000B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6A7" w:rsidRDefault="007B06A7" w:rsidP="00502AF7">
      <w:r>
        <w:separator/>
      </w:r>
    </w:p>
  </w:footnote>
  <w:footnote w:type="continuationSeparator" w:id="1">
    <w:p w:rsidR="007B06A7" w:rsidRDefault="007B06A7" w:rsidP="00502A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915A3"/>
    <w:rsid w:val="00217F62"/>
    <w:rsid w:val="004D4398"/>
    <w:rsid w:val="00502AF7"/>
    <w:rsid w:val="007A4E49"/>
    <w:rsid w:val="007B06A7"/>
    <w:rsid w:val="007C074C"/>
    <w:rsid w:val="00A906D8"/>
    <w:rsid w:val="00AB5A74"/>
    <w:rsid w:val="00F071AE"/>
    <w:rsid w:val="00FE5F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502AF7"/>
    <w:pPr>
      <w:tabs>
        <w:tab w:val="center" w:pos="4252"/>
        <w:tab w:val="right" w:pos="8504"/>
      </w:tabs>
    </w:pPr>
  </w:style>
  <w:style w:type="character" w:customStyle="1" w:styleId="CabealhoChar">
    <w:name w:val="Cabeçalho Char"/>
    <w:basedOn w:val="Fontepargpadro"/>
    <w:link w:val="Cabealho"/>
    <w:uiPriority w:val="99"/>
    <w:semiHidden/>
    <w:rsid w:val="00502AF7"/>
  </w:style>
  <w:style w:type="paragraph" w:styleId="Corpodetexto">
    <w:name w:val="Body Text"/>
    <w:basedOn w:val="Normal"/>
    <w:link w:val="CorpodetextoChar"/>
    <w:uiPriority w:val="1"/>
    <w:semiHidden/>
    <w:unhideWhenUsed/>
    <w:qFormat/>
    <w:rsid w:val="007C074C"/>
    <w:pPr>
      <w:widowControl w:val="0"/>
      <w:autoSpaceDE w:val="0"/>
      <w:autoSpaceDN w:val="0"/>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semiHidden/>
    <w:rsid w:val="007C074C"/>
    <w:rPr>
      <w:rFonts w:ascii="Arial" w:eastAsia="Arial" w:hAnsi="Arial" w:cs="Arial"/>
      <w:sz w:val="24"/>
      <w:szCs w:val="24"/>
      <w:lang w:val="pt-PT" w:eastAsia="pt-PT" w:bidi="pt-PT"/>
    </w:rPr>
  </w:style>
  <w:style w:type="paragraph" w:customStyle="1" w:styleId="Heading1">
    <w:name w:val="Heading 1"/>
    <w:basedOn w:val="Normal"/>
    <w:uiPriority w:val="1"/>
    <w:qFormat/>
    <w:rsid w:val="007C074C"/>
    <w:pPr>
      <w:widowControl w:val="0"/>
      <w:autoSpaceDE w:val="0"/>
      <w:autoSpaceDN w:val="0"/>
      <w:ind w:left="19"/>
      <w:outlineLvl w:val="1"/>
    </w:pPr>
    <w:rPr>
      <w:rFonts w:ascii="Tahoma" w:eastAsia="Tahoma" w:hAnsi="Tahoma" w:cs="Tahoma"/>
      <w:b/>
      <w:bCs/>
      <w:sz w:val="28"/>
      <w:szCs w:val="28"/>
      <w:lang w:val="pt-PT" w:eastAsia="pt-PT" w:bidi="pt-PT"/>
    </w:rPr>
  </w:style>
  <w:style w:type="character" w:customStyle="1" w:styleId="apple-converted-space">
    <w:name w:val="apple-converted-space"/>
    <w:basedOn w:val="Fontepargpadro"/>
    <w:rsid w:val="007C074C"/>
  </w:style>
</w:styles>
</file>

<file path=word/webSettings.xml><?xml version="1.0" encoding="utf-8"?>
<w:webSettings xmlns:r="http://schemas.openxmlformats.org/officeDocument/2006/relationships" xmlns:w="http://schemas.openxmlformats.org/wordprocessingml/2006/main">
  <w:divs>
    <w:div w:id="1787850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1016</Words>
  <Characters>5488</Characters>
  <Application>Microsoft Office Word</Application>
  <DocSecurity>0</DocSecurity>
  <Lines>45</Lines>
  <Paragraphs>12</Paragraphs>
  <ScaleCrop>false</ScaleCrop>
  <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USER</cp:lastModifiedBy>
  <cp:revision>4</cp:revision>
  <dcterms:created xsi:type="dcterms:W3CDTF">2018-01-23T12:37:00Z</dcterms:created>
  <dcterms:modified xsi:type="dcterms:W3CDTF">2019-12-16T16:52:00Z</dcterms:modified>
</cp:coreProperties>
</file>