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35" w:rsidRDefault="00DB0B35" w:rsidP="00DB0B35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DB0B35" w:rsidRDefault="009C454F" w:rsidP="00DB0B35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B35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DB0B35"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Pr="00DB0B35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DB0B3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DB0B3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DB0B35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DB0B3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DB0B35">
        <w:rPr>
          <w:rFonts w:ascii="Times New Roman" w:hAnsi="Times New Roman" w:cs="Times New Roman"/>
          <w:b/>
          <w:sz w:val="24"/>
          <w:szCs w:val="24"/>
          <w:u w:val="single"/>
        </w:rPr>
        <w:t>FEVEREIRO DE 2020.</w:t>
      </w:r>
    </w:p>
    <w:p w:rsidR="009C454F" w:rsidRPr="00DB0B35" w:rsidRDefault="009C454F" w:rsidP="00DB0B35">
      <w:pPr>
        <w:ind w:left="-284" w:right="-45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B0B35" w:rsidRPr="00DB0B35" w:rsidRDefault="00DB0B35" w:rsidP="00DB0B35">
      <w:pPr>
        <w:tabs>
          <w:tab w:val="left" w:pos="2977"/>
        </w:tabs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B0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DISPÕE SOBRE A REAVALIAÇÃO ATUARIAL/2019 E ALTERA AS ALÍQUOTAS DE CONTRIBUIÇÃO PREVIDENCIÁRIA DEVIDAS PELO MUNICÍPIO AO REGIME PRÓPRIO DE PREVIDÊNCIA SOCIAL - RPPS.</w:t>
      </w:r>
    </w:p>
    <w:p w:rsidR="009C454F" w:rsidRPr="00DB0B35" w:rsidRDefault="009C454F" w:rsidP="00DB0B35">
      <w:pPr>
        <w:pStyle w:val="Corpodetexto"/>
        <w:ind w:left="1418" w:right="-45"/>
        <w:rPr>
          <w:rFonts w:ascii="Times New Roman" w:hAnsi="Times New Roman" w:cs="Times New Roman"/>
          <w:lang w:val="pt-BR"/>
        </w:rPr>
      </w:pPr>
    </w:p>
    <w:p w:rsidR="00DB0B35" w:rsidRPr="00DB0B35" w:rsidRDefault="009C454F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DB0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B0B35">
        <w:rPr>
          <w:rFonts w:ascii="Times New Roman" w:hAnsi="Times New Roman" w:cs="Times New Roman"/>
          <w:bCs/>
          <w:sz w:val="24"/>
          <w:szCs w:val="24"/>
        </w:rPr>
        <w:t>.</w:t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A contribuição previdenciária de responsabilidade do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B0B35">
        <w:rPr>
          <w:rFonts w:ascii="Times New Roman" w:hAnsi="Times New Roman" w:cs="Times New Roman"/>
          <w:bCs/>
          <w:sz w:val="24"/>
          <w:szCs w:val="24"/>
        </w:rPr>
        <w:t>egurado relativa ao custo normal dos benefícios previdenciários, necessárias à organização e funcionamento da unidade gestora do RPPS será de 11,00%, incidente sobre a totalidade da remuneração de contribuição dos servidores ativos.</w:t>
      </w: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B0B35">
        <w:rPr>
          <w:rFonts w:ascii="Times New Roman" w:hAnsi="Times New Roman" w:cs="Times New Roman"/>
          <w:bCs/>
          <w:sz w:val="24"/>
          <w:szCs w:val="24"/>
        </w:rPr>
        <w:t>.</w:t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B35">
        <w:rPr>
          <w:rFonts w:ascii="Times New Roman" w:hAnsi="Times New Roman" w:cs="Times New Roman"/>
          <w:bCs/>
          <w:sz w:val="24"/>
          <w:szCs w:val="24"/>
        </w:rPr>
        <w:t>A contribuição previdenciária de responsabilidade do ente relativa ao custo normal dos benefícios previdenciários e ao custeio das despesas correntes e de capital necessárias à organização e funcionamento da unidade gestora do RPPS será de 22,35%, incidente sobre a totalidade da remuneração de contribuição dos servidores ativos.</w:t>
      </w: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3</w:t>
      </w:r>
      <w:r>
        <w:rPr>
          <w:rFonts w:ascii="Times New Roman" w:hAnsi="Times New Roman" w:cs="Times New Roman"/>
          <w:b/>
          <w:bCs/>
          <w:sz w:val="24"/>
          <w:szCs w:val="24"/>
        </w:rPr>
        <w:t>º.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 Fica instituído plano de amortização, destinado ao equacionamento do déficit atuarial, despendido em aportes financeiros anuais pelo ente, definidas na tabela </w:t>
      </w:r>
      <w:r>
        <w:rPr>
          <w:rFonts w:ascii="Times New Roman" w:hAnsi="Times New Roman" w:cs="Times New Roman"/>
          <w:bCs/>
          <w:sz w:val="24"/>
          <w:szCs w:val="24"/>
        </w:rPr>
        <w:t>anexa a este Projeto de Lei.</w:t>
      </w: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B0B35">
        <w:rPr>
          <w:rFonts w:ascii="Times New Roman" w:hAnsi="Times New Roman" w:cs="Times New Roman"/>
          <w:bCs/>
          <w:sz w:val="24"/>
          <w:szCs w:val="24"/>
        </w:rPr>
        <w:t>.</w:t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As contribuições correspondentes às alíquotas do custo normal e </w:t>
      </w:r>
      <w:r w:rsidR="00271A45">
        <w:rPr>
          <w:rFonts w:ascii="Times New Roman" w:hAnsi="Times New Roman" w:cs="Times New Roman"/>
          <w:bCs/>
          <w:sz w:val="24"/>
          <w:szCs w:val="24"/>
        </w:rPr>
        <w:t>a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porte </w:t>
      </w:r>
      <w:r w:rsidR="00271A45">
        <w:rPr>
          <w:rFonts w:ascii="Times New Roman" w:hAnsi="Times New Roman" w:cs="Times New Roman"/>
          <w:bCs/>
          <w:sz w:val="24"/>
          <w:szCs w:val="24"/>
        </w:rPr>
        <w:t>f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inanceiro para amortização do </w:t>
      </w:r>
      <w:r w:rsidR="00271A45">
        <w:rPr>
          <w:rFonts w:ascii="Times New Roman" w:hAnsi="Times New Roman" w:cs="Times New Roman"/>
          <w:bCs/>
          <w:sz w:val="24"/>
          <w:szCs w:val="24"/>
        </w:rPr>
        <w:t>d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éficit </w:t>
      </w:r>
      <w:r w:rsidR="00271A45">
        <w:rPr>
          <w:rFonts w:ascii="Times New Roman" w:hAnsi="Times New Roman" w:cs="Times New Roman"/>
          <w:bCs/>
          <w:sz w:val="24"/>
          <w:szCs w:val="24"/>
        </w:rPr>
        <w:t>a</w:t>
      </w:r>
      <w:r w:rsidRPr="00DB0B35">
        <w:rPr>
          <w:rFonts w:ascii="Times New Roman" w:hAnsi="Times New Roman" w:cs="Times New Roman"/>
          <w:bCs/>
          <w:sz w:val="24"/>
          <w:szCs w:val="24"/>
        </w:rPr>
        <w:t>tuarial, relativas ao exercício de 2019, serão exigidas a partir do primeiro dia do mês s</w:t>
      </w:r>
      <w:r w:rsidR="00271A45">
        <w:rPr>
          <w:rFonts w:ascii="Times New Roman" w:hAnsi="Times New Roman" w:cs="Times New Roman"/>
          <w:bCs/>
          <w:sz w:val="24"/>
          <w:szCs w:val="24"/>
        </w:rPr>
        <w:t>eguinte ao da publicação desta L</w:t>
      </w:r>
      <w:r w:rsidRPr="00DB0B35">
        <w:rPr>
          <w:rFonts w:ascii="Times New Roman" w:hAnsi="Times New Roman" w:cs="Times New Roman"/>
          <w:bCs/>
          <w:sz w:val="24"/>
          <w:szCs w:val="24"/>
        </w:rPr>
        <w:t>ei.</w:t>
      </w: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5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B0B35">
        <w:rPr>
          <w:rFonts w:ascii="Times New Roman" w:hAnsi="Times New Roman" w:cs="Times New Roman"/>
          <w:bCs/>
          <w:sz w:val="24"/>
          <w:szCs w:val="24"/>
        </w:rPr>
        <w:t>.</w:t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Caso a reavaliação atuarial anual indique a necessidade de majoração do plano de custeio, as alíquotas de contribuição e o </w:t>
      </w:r>
      <w:r w:rsidR="00271A45">
        <w:rPr>
          <w:rFonts w:ascii="Times New Roman" w:hAnsi="Times New Roman" w:cs="Times New Roman"/>
          <w:bCs/>
          <w:sz w:val="24"/>
          <w:szCs w:val="24"/>
        </w:rPr>
        <w:t>a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porte </w:t>
      </w:r>
      <w:r w:rsidR="00271A45">
        <w:rPr>
          <w:rFonts w:ascii="Times New Roman" w:hAnsi="Times New Roman" w:cs="Times New Roman"/>
          <w:bCs/>
          <w:sz w:val="24"/>
          <w:szCs w:val="24"/>
        </w:rPr>
        <w:t>f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inanceiro para amortização do </w:t>
      </w:r>
      <w:r w:rsidR="00271A45">
        <w:rPr>
          <w:rFonts w:ascii="Times New Roman" w:hAnsi="Times New Roman" w:cs="Times New Roman"/>
          <w:bCs/>
          <w:sz w:val="24"/>
          <w:szCs w:val="24"/>
        </w:rPr>
        <w:t>d</w:t>
      </w:r>
      <w:r w:rsidRPr="00DB0B35">
        <w:rPr>
          <w:rFonts w:ascii="Times New Roman" w:hAnsi="Times New Roman" w:cs="Times New Roman"/>
          <w:bCs/>
          <w:sz w:val="24"/>
          <w:szCs w:val="24"/>
        </w:rPr>
        <w:t xml:space="preserve">éficit </w:t>
      </w:r>
      <w:r w:rsidR="00271A45">
        <w:rPr>
          <w:rFonts w:ascii="Times New Roman" w:hAnsi="Times New Roman" w:cs="Times New Roman"/>
          <w:bCs/>
          <w:sz w:val="24"/>
          <w:szCs w:val="24"/>
        </w:rPr>
        <w:t>a</w:t>
      </w:r>
      <w:r w:rsidRPr="00DB0B35">
        <w:rPr>
          <w:rFonts w:ascii="Times New Roman" w:hAnsi="Times New Roman" w:cs="Times New Roman"/>
          <w:bCs/>
          <w:sz w:val="24"/>
          <w:szCs w:val="24"/>
        </w:rPr>
        <w:t>tuarial do ente poderão ser revistas por meio de Decreto expedido pelo Poder Executivo.</w:t>
      </w:r>
    </w:p>
    <w:p w:rsid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Pr="00DB0B35" w:rsidRDefault="00DB0B35" w:rsidP="00DB0B35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DB0B35">
        <w:rPr>
          <w:rFonts w:ascii="Times New Roman" w:hAnsi="Times New Roman" w:cs="Times New Roman"/>
          <w:bCs/>
          <w:sz w:val="24"/>
          <w:szCs w:val="24"/>
        </w:rPr>
        <w:t>.</w:t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B35">
        <w:rPr>
          <w:rFonts w:ascii="Times New Roman" w:hAnsi="Times New Roman" w:cs="Times New Roman"/>
          <w:bCs/>
          <w:sz w:val="24"/>
          <w:szCs w:val="24"/>
        </w:rPr>
        <w:t>Esta Lei entra em vigor na data de sua publicação, revogadas as disposições em contrário.</w:t>
      </w:r>
    </w:p>
    <w:p w:rsidR="00DB0B35" w:rsidRPr="00DB0B35" w:rsidRDefault="00DB0B35" w:rsidP="00DB0B35">
      <w:pPr>
        <w:ind w:left="-2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DB0B35" w:rsidRDefault="009C454F" w:rsidP="00DB0B35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B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0B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0B35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DB0B35" w:rsidRPr="00DB0B35">
        <w:rPr>
          <w:rFonts w:ascii="Times New Roman" w:hAnsi="Times New Roman" w:cs="Times New Roman"/>
          <w:sz w:val="24"/>
          <w:szCs w:val="24"/>
        </w:rPr>
        <w:t xml:space="preserve">10 </w:t>
      </w:r>
      <w:r w:rsidRPr="00DB0B35">
        <w:rPr>
          <w:rFonts w:ascii="Times New Roman" w:hAnsi="Times New Roman" w:cs="Times New Roman"/>
          <w:sz w:val="24"/>
          <w:szCs w:val="24"/>
        </w:rPr>
        <w:t xml:space="preserve">de </w:t>
      </w:r>
      <w:r w:rsidR="00DB0B35" w:rsidRPr="00DB0B35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DB0B35">
        <w:rPr>
          <w:rFonts w:ascii="Times New Roman" w:hAnsi="Times New Roman" w:cs="Times New Roman"/>
          <w:sz w:val="24"/>
          <w:szCs w:val="24"/>
        </w:rPr>
        <w:t>de 20</w:t>
      </w:r>
      <w:r w:rsidR="00DB0B35" w:rsidRPr="00DB0B35">
        <w:rPr>
          <w:rFonts w:ascii="Times New Roman" w:hAnsi="Times New Roman" w:cs="Times New Roman"/>
          <w:sz w:val="24"/>
          <w:szCs w:val="24"/>
        </w:rPr>
        <w:t>20.</w:t>
      </w:r>
      <w:r w:rsidRPr="00DB0B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454F" w:rsidRPr="00DB0B35" w:rsidRDefault="009C454F" w:rsidP="00DB0B3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B0B35" w:rsidRPr="00DB0B35" w:rsidRDefault="00DB0B35" w:rsidP="00DB0B35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D458A" w:rsidRDefault="009C454F" w:rsidP="00CD458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B35">
        <w:rPr>
          <w:rFonts w:ascii="Times New Roman" w:hAnsi="Times New Roman" w:cs="Times New Roman"/>
          <w:sz w:val="24"/>
          <w:szCs w:val="24"/>
        </w:rPr>
        <w:tab/>
      </w:r>
      <w:r w:rsidRPr="00DB0B35">
        <w:rPr>
          <w:rFonts w:ascii="Times New Roman" w:hAnsi="Times New Roman" w:cs="Times New Roman"/>
          <w:sz w:val="24"/>
          <w:szCs w:val="24"/>
        </w:rPr>
        <w:tab/>
      </w:r>
      <w:r w:rsidRPr="00DB0B35">
        <w:rPr>
          <w:rFonts w:ascii="Times New Roman" w:hAnsi="Times New Roman" w:cs="Times New Roman"/>
          <w:sz w:val="24"/>
          <w:szCs w:val="24"/>
        </w:rPr>
        <w:tab/>
      </w:r>
      <w:r w:rsidRPr="00DB0B35">
        <w:rPr>
          <w:rFonts w:ascii="Times New Roman" w:hAnsi="Times New Roman" w:cs="Times New Roman"/>
          <w:sz w:val="24"/>
          <w:szCs w:val="24"/>
        </w:rPr>
        <w:tab/>
      </w:r>
      <w:r w:rsidR="00CD458A">
        <w:rPr>
          <w:rFonts w:ascii="Times New Roman" w:hAnsi="Times New Roman" w:cs="Times New Roman"/>
          <w:b/>
          <w:sz w:val="24"/>
          <w:szCs w:val="24"/>
        </w:rPr>
        <w:t xml:space="preserve">   VER. DIONARDO MENDES DA CONCEIÇÃO</w:t>
      </w:r>
    </w:p>
    <w:p w:rsidR="00CD458A" w:rsidRDefault="00CD458A" w:rsidP="00CD458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Presidente</w:t>
      </w:r>
    </w:p>
    <w:p w:rsidR="009C454F" w:rsidRPr="00DB0B35" w:rsidRDefault="009C454F" w:rsidP="00CD458A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54F" w:rsidRPr="00DB0B35" w:rsidRDefault="009C454F" w:rsidP="00DB0B35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B0B35" w:rsidRDefault="009C454F" w:rsidP="00DB0B35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DB0B35">
        <w:rPr>
          <w:rFonts w:ascii="Times New Roman" w:hAnsi="Times New Roman" w:cs="Times New Roman"/>
          <w:sz w:val="24"/>
          <w:szCs w:val="24"/>
        </w:rPr>
        <w:t>1</w:t>
      </w:r>
      <w:r w:rsidRPr="00DB0B35">
        <w:rPr>
          <w:rFonts w:ascii="Times New Roman" w:hAnsi="Times New Roman" w:cs="Times New Roman"/>
          <w:sz w:val="24"/>
          <w:szCs w:val="24"/>
        </w:rPr>
        <w:t>.</w:t>
      </w:r>
      <w:r w:rsidR="00DB0B35">
        <w:rPr>
          <w:rFonts w:ascii="Times New Roman" w:hAnsi="Times New Roman" w:cs="Times New Roman"/>
          <w:sz w:val="24"/>
          <w:szCs w:val="24"/>
        </w:rPr>
        <w:t>02</w:t>
      </w:r>
      <w:r w:rsidRPr="00DB0B35">
        <w:rPr>
          <w:rFonts w:ascii="Times New Roman" w:hAnsi="Times New Roman" w:cs="Times New Roman"/>
          <w:sz w:val="24"/>
          <w:szCs w:val="24"/>
        </w:rPr>
        <w:t>.20</w:t>
      </w:r>
      <w:r w:rsidR="00DB0B35">
        <w:rPr>
          <w:rFonts w:ascii="Times New Roman" w:hAnsi="Times New Roman" w:cs="Times New Roman"/>
          <w:sz w:val="24"/>
          <w:szCs w:val="24"/>
        </w:rPr>
        <w:t>20</w:t>
      </w:r>
      <w:r w:rsidRPr="00DB0B35">
        <w:rPr>
          <w:rFonts w:ascii="Times New Roman" w:hAnsi="Times New Roman" w:cs="Times New Roman"/>
          <w:sz w:val="24"/>
          <w:szCs w:val="24"/>
        </w:rPr>
        <w:t>.</w:t>
      </w:r>
    </w:p>
    <w:p w:rsidR="009C454F" w:rsidRPr="00DB0B35" w:rsidRDefault="009C454F" w:rsidP="00DB0B35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DB0B35" w:rsidRDefault="009C454F" w:rsidP="00DB0B35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B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454F" w:rsidRPr="00DB0B35" w:rsidRDefault="009C454F" w:rsidP="00DB0B35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DB0B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0B3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DB0B35">
        <w:rPr>
          <w:rFonts w:ascii="Times New Roman" w:hAnsi="Times New Roman" w:cs="Times New Roman"/>
          <w:sz w:val="24"/>
          <w:szCs w:val="24"/>
        </w:rPr>
        <w:t>Secretária Geral</w:t>
      </w:r>
    </w:p>
    <w:p w:rsid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A45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271A45" w:rsidRP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45" w:rsidRP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A45">
        <w:rPr>
          <w:rFonts w:ascii="Times New Roman" w:hAnsi="Times New Roman" w:cs="Times New Roman"/>
          <w:b/>
          <w:sz w:val="24"/>
          <w:szCs w:val="24"/>
        </w:rPr>
        <w:t>TABELA DE EQUACIONAMENTO DO DÉFICIT ATUARIAL</w:t>
      </w:r>
    </w:p>
    <w:p w:rsidR="00271A45" w:rsidRP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A45">
        <w:rPr>
          <w:rFonts w:ascii="Times New Roman" w:hAnsi="Times New Roman" w:cs="Times New Roman"/>
          <w:b/>
          <w:sz w:val="24"/>
          <w:szCs w:val="24"/>
        </w:rPr>
        <w:t>APORTE FINANCEIRO</w:t>
      </w:r>
    </w:p>
    <w:p w:rsidR="00271A45" w:rsidRPr="00271A45" w:rsidRDefault="00271A45" w:rsidP="00271A45">
      <w:pPr>
        <w:tabs>
          <w:tab w:val="left" w:pos="380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45" w:rsidRPr="00271A45" w:rsidRDefault="00271A45" w:rsidP="00271A45">
      <w:pPr>
        <w:tabs>
          <w:tab w:val="left" w:pos="3806"/>
        </w:tabs>
        <w:rPr>
          <w:rFonts w:ascii="Times New Roman" w:hAnsi="Times New Roman" w:cs="Times New Roman"/>
          <w:sz w:val="24"/>
          <w:szCs w:val="24"/>
        </w:rPr>
      </w:pPr>
      <w:r w:rsidRPr="00271A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0225" cy="6867525"/>
            <wp:effectExtent l="19050" t="0" r="9525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45" w:rsidRPr="00271A45" w:rsidRDefault="00271A45" w:rsidP="00271A45">
      <w:pPr>
        <w:tabs>
          <w:tab w:val="left" w:pos="3806"/>
        </w:tabs>
        <w:rPr>
          <w:rFonts w:ascii="Times New Roman" w:hAnsi="Times New Roman" w:cs="Times New Roman"/>
          <w:sz w:val="24"/>
          <w:szCs w:val="24"/>
        </w:rPr>
      </w:pPr>
    </w:p>
    <w:sectPr w:rsidR="00271A45" w:rsidRPr="00271A45" w:rsidSect="00DB0B35">
      <w:headerReference w:type="default" r:id="rId7"/>
      <w:footerReference w:type="default" r:id="rId8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67C" w:rsidRDefault="0016767C" w:rsidP="009C454F">
      <w:r>
        <w:separator/>
      </w:r>
    </w:p>
  </w:endnote>
  <w:endnote w:type="continuationSeparator" w:id="1">
    <w:p w:rsidR="0016767C" w:rsidRDefault="0016767C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67C" w:rsidRDefault="0016767C" w:rsidP="009C454F">
      <w:r>
        <w:separator/>
      </w:r>
    </w:p>
  </w:footnote>
  <w:footnote w:type="continuationSeparator" w:id="1">
    <w:p w:rsidR="0016767C" w:rsidRDefault="0016767C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85CD4"/>
    <w:rsid w:val="0016767C"/>
    <w:rsid w:val="00175586"/>
    <w:rsid w:val="001915A3"/>
    <w:rsid w:val="00217F62"/>
    <w:rsid w:val="00271A45"/>
    <w:rsid w:val="00442C6B"/>
    <w:rsid w:val="006749E4"/>
    <w:rsid w:val="0078003B"/>
    <w:rsid w:val="00820FC8"/>
    <w:rsid w:val="009A3E01"/>
    <w:rsid w:val="009C454F"/>
    <w:rsid w:val="00A906D8"/>
    <w:rsid w:val="00AB5A74"/>
    <w:rsid w:val="00C11B18"/>
    <w:rsid w:val="00CD458A"/>
    <w:rsid w:val="00DB0B3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2020-02-11T17:55:00Z</cp:lastPrinted>
  <dcterms:created xsi:type="dcterms:W3CDTF">2020-02-11T17:55:00Z</dcterms:created>
  <dcterms:modified xsi:type="dcterms:W3CDTF">2020-02-11T17:55:00Z</dcterms:modified>
</cp:coreProperties>
</file>