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4D" w:rsidRDefault="004B484D" w:rsidP="004B484D">
      <w:pPr>
        <w:spacing w:after="140"/>
        <w:jc w:val="center"/>
        <w:rPr>
          <w:rFonts w:ascii="Bookman Old Style" w:hAnsi="Bookman Old Style"/>
          <w:b/>
          <w:bCs/>
          <w:i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iCs/>
          <w:color w:val="000000"/>
          <w:sz w:val="24"/>
          <w:szCs w:val="24"/>
        </w:rPr>
        <w:t>MENSAGEM LEGISLATIVA Nº 026, DE 11 DE MAIO DE 2020</w:t>
      </w:r>
    </w:p>
    <w:p w:rsidR="004B484D" w:rsidRDefault="004B484D" w:rsidP="004B484D">
      <w:pPr>
        <w:jc w:val="both"/>
        <w:rPr>
          <w:rFonts w:ascii="Bookman Old Style" w:hAnsi="Bookman Old Style"/>
          <w:bCs/>
          <w:iCs/>
          <w:color w:val="FF0000"/>
          <w:sz w:val="24"/>
          <w:szCs w:val="24"/>
        </w:rPr>
      </w:pPr>
    </w:p>
    <w:p w:rsidR="004B484D" w:rsidRDefault="004B484D" w:rsidP="004B484D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Excelentíssimo Senhor</w:t>
      </w:r>
    </w:p>
    <w:p w:rsidR="004B484D" w:rsidRDefault="004B484D" w:rsidP="004B484D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Vereador DIONARDO MENDES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4B484D" w:rsidRDefault="004B484D" w:rsidP="004B484D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Presidente da Câmara Municipal de Campo Novo do Parecis</w:t>
      </w:r>
    </w:p>
    <w:p w:rsidR="004B484D" w:rsidRDefault="004B484D" w:rsidP="004B484D">
      <w:pPr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Exmos. Srs. Vereadores da Câmara Municipal de Campo Novo do Parecis</w:t>
      </w:r>
    </w:p>
    <w:p w:rsidR="004B484D" w:rsidRDefault="004B484D" w:rsidP="004B484D">
      <w:pPr>
        <w:tabs>
          <w:tab w:val="left" w:pos="-360"/>
        </w:tabs>
        <w:spacing w:line="276" w:lineRule="auto"/>
        <w:jc w:val="both"/>
        <w:rPr>
          <w:rFonts w:ascii="Bookman Old Style" w:hAnsi="Bookman Old Style" w:cs="Rubik Light"/>
          <w:color w:val="FF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  <w:r>
        <w:rPr>
          <w:rFonts w:ascii="Bookman Old Style" w:hAnsi="Bookman Old Style" w:cs="Rubik Light"/>
          <w:color w:val="000000"/>
          <w:sz w:val="24"/>
          <w:szCs w:val="24"/>
        </w:rPr>
        <w:t>Dirijo-me a Vossas Excelências, respeitosamente, para encaminhar o Projeto de Lei nº 024/2020 que tem por finalidade obter autorização legislativa para firmar termo de convênio com a Secretaria de Estado e Segurança Pública.</w:t>
      </w: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  <w:r>
        <w:rPr>
          <w:rFonts w:ascii="Bookman Old Style" w:hAnsi="Bookman Old Style" w:cs="Rubik Light"/>
          <w:color w:val="000000"/>
          <w:sz w:val="24"/>
          <w:szCs w:val="24"/>
        </w:rPr>
        <w:t xml:space="preserve">Pretendemos firmar com a Secretaria de Estado e Segurança Pública, termo de </w:t>
      </w:r>
      <w:r>
        <w:rPr>
          <w:rFonts w:ascii="Bookman Old Style" w:hAnsi="Bookman Old Style" w:cs="Rubik Light"/>
          <w:i/>
          <w:color w:val="000000"/>
          <w:sz w:val="24"/>
          <w:szCs w:val="24"/>
        </w:rPr>
        <w:t>convênio</w:t>
      </w:r>
      <w:r>
        <w:rPr>
          <w:rFonts w:ascii="Bookman Old Style" w:hAnsi="Bookman Old Style" w:cs="Rubik Light"/>
          <w:color w:val="000000"/>
          <w:sz w:val="24"/>
          <w:szCs w:val="24"/>
        </w:rPr>
        <w:t xml:space="preserve"> (conforme minuta anexa), por meio do qual será permitido realizar ações a fim de efetivar programas de segurança pública para desenvolvimento no Município, por meio da 16ª Companhia Independente da Polícia Militar do Estado. </w:t>
      </w: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  <w:r>
        <w:rPr>
          <w:rFonts w:ascii="Bookman Old Style" w:hAnsi="Bookman Old Style" w:cs="Rubik Light"/>
          <w:color w:val="000000"/>
          <w:sz w:val="24"/>
          <w:szCs w:val="24"/>
        </w:rPr>
        <w:t xml:space="preserve">Para perfectibilizar e dar meios de possibilitar as ações, o Município pretende </w:t>
      </w:r>
      <w:r>
        <w:rPr>
          <w:rFonts w:ascii="Bookman Old Style" w:hAnsi="Bookman Old Style" w:cs="Rubik Light"/>
          <w:i/>
          <w:color w:val="000000"/>
          <w:sz w:val="24"/>
          <w:szCs w:val="24"/>
        </w:rPr>
        <w:t>ceder</w:t>
      </w:r>
      <w:r>
        <w:rPr>
          <w:rFonts w:ascii="Bookman Old Style" w:hAnsi="Bookman Old Style" w:cs="Rubik Light"/>
          <w:color w:val="000000"/>
          <w:sz w:val="24"/>
          <w:szCs w:val="24"/>
        </w:rPr>
        <w:t xml:space="preserve"> o uso de 4 (quatro) veículos motocicletas, para que uma das ações a serem realizadas no município seja o retorno do moto-patrulhamento no perímetro do Município. </w:t>
      </w: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  <w:r>
        <w:rPr>
          <w:rFonts w:ascii="Bookman Old Style" w:hAnsi="Bookman Old Style" w:cs="Rubik Light"/>
          <w:color w:val="000000"/>
          <w:sz w:val="24"/>
          <w:szCs w:val="24"/>
        </w:rPr>
        <w:t>Para tanto, é necessário que cumpramos certos requisitos, assim como viabilizar esta cessão pelo mecanismo legal e correto, para respeitar a legalidade estrita. Por isso que se presta este projeto de lei, para que os nobres edis participem do processo de firmar o convênio e de possibilitar as ações no convênio descritas, e posteriormente efetivar a cessão dos veículos citados.</w:t>
      </w:r>
    </w:p>
    <w:p w:rsidR="004B484D" w:rsidRDefault="004B484D" w:rsidP="004B484D">
      <w:pPr>
        <w:tabs>
          <w:tab w:val="left" w:pos="-360"/>
        </w:tabs>
        <w:spacing w:line="276" w:lineRule="auto"/>
        <w:ind w:firstLine="1418"/>
        <w:jc w:val="both"/>
        <w:rPr>
          <w:rFonts w:ascii="Bookman Old Style" w:hAnsi="Bookman Old Style" w:cs="Rubik Light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 w:cs="Rubik Light"/>
          <w:i/>
          <w:color w:val="000000"/>
          <w:sz w:val="24"/>
          <w:szCs w:val="24"/>
        </w:rPr>
      </w:pPr>
      <w:r>
        <w:rPr>
          <w:rFonts w:ascii="Bookman Old Style" w:hAnsi="Bookman Old Style" w:cs="Rubik Light"/>
          <w:color w:val="000000"/>
          <w:sz w:val="24"/>
          <w:szCs w:val="24"/>
        </w:rPr>
        <w:t xml:space="preserve">Referida cessão de uso de bens móveis integrantes do patrimônio do Município para outros entes da federação encontra respaldo no entendimento do Tribunal de Contas deste Estado, o qual nos trás requisitos a serem cumpridos para legitimar o ato, </w:t>
      </w:r>
      <w:r>
        <w:rPr>
          <w:rFonts w:ascii="Bookman Old Style" w:hAnsi="Bookman Old Style" w:cs="Rubik Light"/>
          <w:i/>
          <w:color w:val="000000"/>
          <w:sz w:val="24"/>
          <w:szCs w:val="24"/>
        </w:rPr>
        <w:t>in verbis: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 w:cs="Rubik Light"/>
          <w:i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ind w:left="2268"/>
        <w:jc w:val="both"/>
        <w:rPr>
          <w:rFonts w:ascii="Bookman Old Style" w:hAnsi="Bookman Old Style" w:cs="Rubik Light"/>
          <w:color w:val="000000"/>
          <w:szCs w:val="24"/>
        </w:rPr>
      </w:pPr>
      <w:r>
        <w:rPr>
          <w:rFonts w:ascii="Bookman Old Style" w:hAnsi="Bookman Old Style" w:cs="Rubik Light"/>
          <w:color w:val="000000"/>
          <w:szCs w:val="24"/>
        </w:rPr>
        <w:t xml:space="preserve">EMENTA: ASSEMBLÉIA LEGISLATIVA DE MATO GROSSO. CONSULTA. RESPONDER AO CONSULENTE QUE: 1) a doação de bens móveis pertencentes ao patrimônio público poderá ser efetuada </w:t>
      </w:r>
      <w:r>
        <w:rPr>
          <w:rFonts w:ascii="Bookman Old Style" w:hAnsi="Bookman Old Style" w:cs="Rubik Light"/>
          <w:b/>
          <w:color w:val="000000"/>
          <w:szCs w:val="24"/>
        </w:rPr>
        <w:t>para outra pessoa jurídica de direito público interno e/ou entidades sem fins lucrativos</w:t>
      </w:r>
      <w:r>
        <w:rPr>
          <w:rFonts w:ascii="Bookman Old Style" w:hAnsi="Bookman Old Style" w:cs="Rubik Light"/>
          <w:color w:val="000000"/>
          <w:szCs w:val="24"/>
        </w:rPr>
        <w:t xml:space="preserve">, desde que haja interesse público devidamente justificado e avaliação prévia do bem 2) a </w:t>
      </w:r>
      <w:r>
        <w:rPr>
          <w:rFonts w:ascii="Bookman Old Style" w:hAnsi="Bookman Old Style" w:cs="Rubik Light"/>
          <w:b/>
          <w:color w:val="000000"/>
          <w:szCs w:val="24"/>
        </w:rPr>
        <w:t>cessão de uso de bens móveis pertencentes ao patrimônio público poderá ser efetivada desde que haja interesse público e social devidamente justificado;</w:t>
      </w:r>
      <w:r>
        <w:rPr>
          <w:rFonts w:ascii="Bookman Old Style" w:hAnsi="Bookman Old Style" w:cs="Rubik Light"/>
          <w:color w:val="000000"/>
          <w:szCs w:val="24"/>
        </w:rPr>
        <w:t xml:space="preserve"> 3) em ambas as situações, os procedimentos relativos à doação e/ou cessão devem ser formalizados </w:t>
      </w:r>
      <w:r>
        <w:rPr>
          <w:rFonts w:ascii="Bookman Old Style" w:hAnsi="Bookman Old Style" w:cs="Rubik Light"/>
          <w:b/>
          <w:color w:val="000000"/>
          <w:szCs w:val="24"/>
        </w:rPr>
        <w:t>mediante instrumentos de ajuste como termo de doação ou de cessão de uso</w:t>
      </w:r>
      <w:r>
        <w:rPr>
          <w:rFonts w:ascii="Bookman Old Style" w:hAnsi="Bookman Old Style" w:cs="Rubik Light"/>
          <w:color w:val="000000"/>
          <w:szCs w:val="24"/>
        </w:rPr>
        <w:t xml:space="preserve"> e </w:t>
      </w:r>
      <w:r>
        <w:rPr>
          <w:rFonts w:ascii="Bookman Old Style" w:hAnsi="Bookman Old Style" w:cs="Rubik Light"/>
          <w:b/>
          <w:color w:val="000000"/>
          <w:szCs w:val="24"/>
        </w:rPr>
        <w:lastRenderedPageBreak/>
        <w:t>documentados em processo administrativo</w:t>
      </w:r>
      <w:r>
        <w:rPr>
          <w:rFonts w:ascii="Bookman Old Style" w:hAnsi="Bookman Old Style" w:cs="Rubik Light"/>
          <w:color w:val="000000"/>
          <w:szCs w:val="24"/>
        </w:rPr>
        <w:t xml:space="preserve"> correspondente para fins de controle interno, externo e social; e, 4) deve </w:t>
      </w:r>
      <w:r>
        <w:rPr>
          <w:rFonts w:ascii="Bookman Old Style" w:hAnsi="Bookman Old Style" w:cs="Rubik Light"/>
          <w:b/>
          <w:color w:val="000000"/>
          <w:szCs w:val="24"/>
        </w:rPr>
        <w:t xml:space="preserve">haver a observância de leis específicas autorizando a doação ou a cessão de uso de bens móveis. </w:t>
      </w:r>
      <w:r>
        <w:rPr>
          <w:rFonts w:ascii="Bookman Old Style" w:hAnsi="Bookman Old Style" w:cs="Rubik Light"/>
          <w:color w:val="000000"/>
          <w:szCs w:val="24"/>
        </w:rPr>
        <w:t>(...) (resolução de consulta nº 28/2009 - processo nº 55891/2009 – tce/mt)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Conforme a resolução supra, é permitido que os entes da federação </w:t>
      </w:r>
      <w:r>
        <w:rPr>
          <w:rFonts w:ascii="Bookman Old Style" w:hAnsi="Bookman Old Style"/>
          <w:i/>
          <w:color w:val="000000"/>
          <w:sz w:val="24"/>
          <w:szCs w:val="24"/>
        </w:rPr>
        <w:t>doem ou cedam</w:t>
      </w:r>
      <w:r>
        <w:rPr>
          <w:rFonts w:ascii="Bookman Old Style" w:hAnsi="Bookman Old Style"/>
          <w:color w:val="000000"/>
          <w:sz w:val="24"/>
          <w:szCs w:val="24"/>
        </w:rPr>
        <w:t xml:space="preserve"> bens móveis entre si, desde que haja expressamente interesse público e social devidamente demonstrado. Além de haver interesse público, deverá ser precedido de termo de cessão de uso, formalizado em processo administrativo, e autorizado por lei específica.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Pois bem, o interesse público resta cristalino nesta cessão de uso, uma vez que almeja auxiliar os trabalhos da Polícia Militar no âmbito do Município de Campo Novo do Parecis, equipando a frota de veículos, para intensificação do patrulhamento policial na cidade, tanto urbano quanto rural, ou seja, o interesse público é a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segurança pública dos munícipes</w:t>
      </w:r>
      <w:r>
        <w:rPr>
          <w:rFonts w:ascii="Bookman Old Style" w:hAnsi="Bookman Old Style"/>
          <w:color w:val="000000"/>
          <w:sz w:val="24"/>
          <w:szCs w:val="24"/>
        </w:rPr>
        <w:t>, contribuindo para a melhora desta segurança e qualidade de vida.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Superado o ponto da finalidade pública, possuímos também o requisito de formalização por termo de cessão de uso, instruído em processo administrativo próprio. A pactuação de aludido termo será realizada </w:t>
      </w:r>
      <w:r>
        <w:rPr>
          <w:rFonts w:ascii="Bookman Old Style" w:hAnsi="Bookman Old Style"/>
          <w:b/>
          <w:color w:val="000000"/>
          <w:sz w:val="24"/>
          <w:szCs w:val="24"/>
        </w:rPr>
        <w:t>logo após a aprovação desta lei</w:t>
      </w:r>
      <w:r>
        <w:rPr>
          <w:rFonts w:ascii="Bookman Old Style" w:hAnsi="Bookman Old Style"/>
          <w:color w:val="000000"/>
          <w:sz w:val="24"/>
          <w:szCs w:val="24"/>
        </w:rPr>
        <w:t xml:space="preserve">, sendo a lei será o embasamento legal que o termo de cessão de uso necessita, conforme resolução supra. 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Por fim, devemos rechaçar qualquer hipótese de afronta à legislação e vedações eleitorais. Do ponto de vista eleitoral, a lei 9.504/93 dispõe que são proibidos aos agentes públicos condutas tendentes a afetar a igualdade de oportunidade entre os candidatos do pleito eleitoral. 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O Art. 73 desta lei cita algumas condutas tendentes à afetar a igualdade destes candidatos. Analisando aludido artigo, percebemos que não é a mera execução destas condutas que tem o condão de configurar afronta à tal legislação, é necessário que a conduta seja de tamanha monta para comprometer a isonomia dos candidatos. 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As ações de políticas públicas, principalmente aquelas realizadas </w:t>
      </w:r>
      <w:r>
        <w:rPr>
          <w:rFonts w:ascii="Bookman Old Style" w:hAnsi="Bookman Old Style"/>
          <w:b/>
          <w:color w:val="000000"/>
          <w:sz w:val="24"/>
          <w:szCs w:val="24"/>
        </w:rPr>
        <w:t>entre entes da federação</w:t>
      </w:r>
      <w:r>
        <w:rPr>
          <w:rFonts w:ascii="Bookman Old Style" w:hAnsi="Bookman Old Style"/>
          <w:color w:val="000000"/>
          <w:sz w:val="24"/>
          <w:szCs w:val="24"/>
        </w:rPr>
        <w:t xml:space="preserve">,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não configuram benefício eleitoral algum para qualquer dos envolvidos</w:t>
      </w:r>
      <w:r>
        <w:rPr>
          <w:rFonts w:ascii="Bookman Old Style" w:hAnsi="Bookman Old Style"/>
          <w:color w:val="000000"/>
          <w:sz w:val="24"/>
          <w:szCs w:val="24"/>
        </w:rPr>
        <w:t xml:space="preserve">, sendo ação incapaz de desequilibrar a disputa eleitoral, já que não influenciam no resultado desta. Sendo assim, as ações de políticas públicas não devem ser limitadas, de modo que apenas configuraria tal afronta, se a intenção </w:t>
      </w:r>
      <w:r>
        <w:rPr>
          <w:rFonts w:ascii="Bookman Old Style" w:hAnsi="Bookman Old Style"/>
          <w:color w:val="000000"/>
          <w:sz w:val="24"/>
          <w:szCs w:val="24"/>
        </w:rPr>
        <w:lastRenderedPageBreak/>
        <w:t xml:space="preserve">fosse utilizar-se para promoção pessoal, o que não é o caso em epígrafe. 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A intenção é a mais que clara: a efetivação e investimentos na segurança pública do Município, não incluindo então em qualquer hipótese de vedação eleitoral. 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 w:cs="Calibri"/>
          <w:b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Sendo assim, considerando o interesse publico cristalino demonstrado no presente Projeto de Lei, elaborado em conformidade com a legislação vigente, p</w:t>
      </w:r>
      <w:r>
        <w:rPr>
          <w:rFonts w:ascii="Bookman Old Style" w:hAnsi="Bookman Old Style" w:cs="Calibri"/>
          <w:color w:val="000000"/>
          <w:sz w:val="24"/>
          <w:szCs w:val="24"/>
        </w:rPr>
        <w:t>revaleço-me da oportunidade para reiterar a Vossa Excelência e a seus ilustres Pares a manifestação do meu singular apreço, encaminhando-lhes o presente Projeto de Lei para análise e, posterior, aprovação.</w:t>
      </w:r>
    </w:p>
    <w:p w:rsidR="004B484D" w:rsidRDefault="004B484D" w:rsidP="004B484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Bookman Old Style" w:hAnsi="Bookman Old Style" w:cs="Calibri"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spacing w:line="276" w:lineRule="auto"/>
        <w:ind w:firstLine="567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Atenciosamente,</w:t>
      </w:r>
    </w:p>
    <w:p w:rsidR="004B484D" w:rsidRDefault="004B484D" w:rsidP="004B484D">
      <w:pPr>
        <w:tabs>
          <w:tab w:val="left" w:pos="-360"/>
        </w:tabs>
        <w:spacing w:line="276" w:lineRule="auto"/>
        <w:ind w:firstLine="567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spacing w:line="360" w:lineRule="auto"/>
        <w:ind w:firstLine="567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-360"/>
        </w:tabs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</w:rPr>
        <w:t>RAFAEL MACHADO</w:t>
      </w:r>
    </w:p>
    <w:p w:rsidR="004B484D" w:rsidRDefault="004B484D" w:rsidP="004B484D">
      <w:pPr>
        <w:tabs>
          <w:tab w:val="left" w:pos="-360"/>
        </w:tabs>
        <w:jc w:val="center"/>
        <w:rPr>
          <w:rFonts w:ascii="Bookman Old Style" w:hAnsi="Bookman Old Style" w:cs="Arial"/>
          <w:color w:val="FF0000"/>
          <w:sz w:val="24"/>
          <w:szCs w:val="24"/>
        </w:rPr>
      </w:pPr>
      <w:r>
        <w:rPr>
          <w:rFonts w:ascii="Bookman Old Style" w:hAnsi="Bookman Old Style" w:cs="Arial"/>
          <w:bCs/>
          <w:color w:val="000000"/>
          <w:sz w:val="24"/>
          <w:szCs w:val="24"/>
        </w:rPr>
        <w:t>Prefeito Municipal</w:t>
      </w:r>
      <w:r>
        <w:rPr>
          <w:rFonts w:ascii="Bookman Old Style" w:hAnsi="Bookman Old Style" w:cs="Arial"/>
          <w:bCs/>
          <w:color w:val="FF0000"/>
          <w:sz w:val="24"/>
          <w:szCs w:val="24"/>
        </w:rPr>
        <w:br w:type="page"/>
      </w:r>
    </w:p>
    <w:p w:rsidR="004B484D" w:rsidRDefault="004B484D" w:rsidP="004B484D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</w:rPr>
        <w:lastRenderedPageBreak/>
        <w:t>PROJETO DE LEI Nº 024/2020</w:t>
      </w:r>
      <w:r>
        <w:rPr>
          <w:rFonts w:ascii="Bookman Old Style" w:hAnsi="Bookman Old Style" w:cs="Arial"/>
          <w:b/>
          <w:bCs/>
          <w:sz w:val="24"/>
          <w:szCs w:val="24"/>
        </w:rPr>
        <w:tab/>
        <w:t xml:space="preserve">        11 DE MAIO DE 2020</w:t>
      </w:r>
    </w:p>
    <w:p w:rsidR="004B484D" w:rsidRDefault="004B484D" w:rsidP="004B484D">
      <w:pPr>
        <w:jc w:val="right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>Autoria: Poder Executivo Municipal</w:t>
      </w:r>
    </w:p>
    <w:p w:rsidR="004B484D" w:rsidRDefault="004B484D" w:rsidP="004B484D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4B484D" w:rsidRDefault="004B484D" w:rsidP="004B484D">
      <w:pPr>
        <w:ind w:left="2835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olor w:val="000000"/>
          <w:sz w:val="24"/>
          <w:szCs w:val="24"/>
        </w:rPr>
        <w:t>AUTORIZA O MUNICÍPIO A FIRMAR TERMO CONVÊNIO E TERMO DE CESSÃO DE USO DE BENS MÓVEIS COM O ESTADO DE MATO GROSSO, POR MEIO DA SECRETARIA DE ESTADO E SEGURANÇA PÚBLICA, E DÁ OUTRAS PROVIDÊNCIAS</w:t>
      </w:r>
    </w:p>
    <w:p w:rsidR="004B484D" w:rsidRDefault="004B484D" w:rsidP="004B484D">
      <w:pPr>
        <w:ind w:left="2835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4B484D" w:rsidRDefault="004B484D" w:rsidP="004B484D">
      <w:pPr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O Prefeito Municipal de Campo Novo do Parecis faz saber que, a Câmara Municipal aprovou, e eu sanciono a seguinte Lei: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1º.</w:t>
      </w:r>
      <w:r>
        <w:rPr>
          <w:rFonts w:ascii="Bookman Old Style" w:hAnsi="Bookman Old Style" w:cs="Arial"/>
          <w:bCs/>
          <w:sz w:val="24"/>
          <w:szCs w:val="24"/>
        </w:rPr>
        <w:t xml:space="preserve"> Fica autorizado o Poder Executivo Municipal, a firmar o Termo Convênio com a Secretaria de Estado e Segurança Pública do Estado de Mato Grosso, com a finalidade de desenvolver atividades e programas na área de segurança pública no âmbito do Município de Campo Novo do Parecis/MT.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2º.</w:t>
      </w:r>
      <w:r>
        <w:rPr>
          <w:rFonts w:ascii="Bookman Old Style" w:hAnsi="Bookman Old Style" w:cs="Arial"/>
          <w:bCs/>
          <w:sz w:val="24"/>
          <w:szCs w:val="24"/>
        </w:rPr>
        <w:t xml:space="preserve"> Para efetivar as ações de segurança pública descritas no termo de convênio, fica autorizado o Poder Executivo Municipal, a firmar o Termo de Cessão de Uso de Bem Móvel</w:t>
      </w:r>
      <w: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com a Secretaria de Estado e Segurança Pública do Estado de Mato Grosso, consubstanciado na cessão dos seguintes veículos: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I – 04 (quatro) veículos tipo MOTOCICLETA, todos de Marca/Modelo HONDA/CB 500X, ano de fabricação 2020, de cor PRETA, com os seguintes números de CHASSI e RENAVAN: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1.</w:t>
      </w:r>
      <w:r>
        <w:rPr>
          <w:rFonts w:ascii="Bookman Old Style" w:hAnsi="Bookman Old Style" w:cs="Arial"/>
          <w:bCs/>
          <w:sz w:val="24"/>
          <w:szCs w:val="24"/>
        </w:rPr>
        <w:tab/>
        <w:t>Chassi: 9C2PC4920LR000252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Renavan:01223382998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Placa: QCC8G72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Valor: R$ 39.750,00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2.</w:t>
      </w:r>
      <w:r>
        <w:rPr>
          <w:rFonts w:ascii="Bookman Old Style" w:hAnsi="Bookman Old Style" w:cs="Arial"/>
          <w:bCs/>
          <w:sz w:val="24"/>
          <w:szCs w:val="24"/>
        </w:rPr>
        <w:tab/>
        <w:t>Chassi: 9C2PC4920LR000209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Renavan: 01223381304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Placa: QCC8G12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R$ 39.750,00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3.</w:t>
      </w:r>
      <w:r>
        <w:rPr>
          <w:rFonts w:ascii="Bookman Old Style" w:hAnsi="Bookman Old Style" w:cs="Arial"/>
          <w:bCs/>
          <w:sz w:val="24"/>
          <w:szCs w:val="24"/>
        </w:rPr>
        <w:tab/>
        <w:t>Chassi: 9C2PC4920LR000234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Renavan: 01223384400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Placa: QCC8H12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R$ 39.750,00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4.</w:t>
      </w:r>
      <w:r>
        <w:rPr>
          <w:rFonts w:ascii="Bookman Old Style" w:hAnsi="Bookman Old Style" w:cs="Arial"/>
          <w:bCs/>
          <w:sz w:val="24"/>
          <w:szCs w:val="24"/>
        </w:rPr>
        <w:tab/>
        <w:t>Chassi: 9C2PC4920LR000245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Renavan: 01223380758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Placa: QCC8G02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R$ 39.750,00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§ 1º O uso dos bens móveis se dará </w:t>
      </w:r>
      <w:r>
        <w:rPr>
          <w:rFonts w:ascii="Bookman Old Style" w:hAnsi="Bookman Old Style" w:cs="Arial"/>
          <w:b/>
          <w:bCs/>
          <w:sz w:val="24"/>
          <w:szCs w:val="24"/>
        </w:rPr>
        <w:t>exclusivamente</w:t>
      </w:r>
      <w:r>
        <w:rPr>
          <w:rFonts w:ascii="Bookman Old Style" w:hAnsi="Bookman Old Style" w:cs="Arial"/>
          <w:bCs/>
          <w:sz w:val="24"/>
          <w:szCs w:val="24"/>
        </w:rPr>
        <w:t xml:space="preserve"> pela </w:t>
      </w:r>
      <w:r>
        <w:rPr>
          <w:rFonts w:ascii="Bookman Old Style" w:hAnsi="Bookman Old Style" w:cs="Arial"/>
          <w:b/>
          <w:bCs/>
          <w:sz w:val="24"/>
          <w:szCs w:val="24"/>
        </w:rPr>
        <w:t>16ª Companhia de Polícia Militar - Campo Novo dos Parecis,</w:t>
      </w:r>
      <w:r>
        <w:rPr>
          <w:rFonts w:ascii="Bookman Old Style" w:hAnsi="Bookman Old Style" w:cs="Arial"/>
          <w:bCs/>
          <w:sz w:val="24"/>
          <w:szCs w:val="24"/>
        </w:rPr>
        <w:t xml:space="preserve"> com o objetivo de </w:t>
      </w:r>
      <w:r>
        <w:rPr>
          <w:rFonts w:ascii="Bookman Old Style" w:hAnsi="Bookman Old Style" w:cs="Arial"/>
          <w:b/>
          <w:bCs/>
          <w:sz w:val="24"/>
          <w:szCs w:val="24"/>
        </w:rPr>
        <w:t>intensificar o patrulhamento rural e urbano</w:t>
      </w:r>
      <w:r>
        <w:rPr>
          <w:rFonts w:ascii="Bookman Old Style" w:hAnsi="Bookman Old Style" w:cs="Arial"/>
          <w:bCs/>
          <w:sz w:val="24"/>
          <w:szCs w:val="24"/>
        </w:rPr>
        <w:t xml:space="preserve">, </w:t>
      </w:r>
      <w:r>
        <w:rPr>
          <w:rFonts w:ascii="Bookman Old Style" w:hAnsi="Bookman Old Style" w:cs="Arial"/>
          <w:b/>
          <w:bCs/>
          <w:sz w:val="24"/>
          <w:szCs w:val="24"/>
          <w:u w:val="single"/>
        </w:rPr>
        <w:t>exclusivamente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no perímetro do Município de Campo Novo do Parecis/MT, conforme minuta do termo de convênio nº 001/2020 anexo.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§ 2º A manutenção dos veículos cedidos, bem como seguro veicular, correrão por conta dos recursos próprios, provenientes do Município de Campo Novo do Parecis.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§ 3º As despesas com combustível, ficarão a cargo da Polícia Militar Estadual, por meio da Secretaria de Estado e Segurança Pública do Estado de Mato Grosso;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§ 4º A partir da data de pactuação do Termo de Cessão de Uso, os encargos provenientes de multas, acidentes ou depreciação do veículo, ficarão à cargo daqueles que estiverem utilizando, sendo a Polícia Militar Estadual responsável.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Cs/>
          <w:sz w:val="24"/>
          <w:szCs w:val="24"/>
        </w:rPr>
        <w:t>O termo de cessão de uso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terá vigência por prazo indeterminado, com possibilidade de reversão, por ambas as partes, caso findo interesse público, ou descumprimento das cláusulas do termo de cessão de uso e minuta de convênio nº 01/2020.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Art. 4º</w:t>
      </w:r>
      <w:r>
        <w:rPr>
          <w:rFonts w:ascii="Bookman Old Style" w:hAnsi="Bookman Old Style" w:cs="Arial"/>
          <w:bCs/>
          <w:sz w:val="24"/>
          <w:szCs w:val="24"/>
        </w:rPr>
        <w:t xml:space="preserve"> Esta Lei entra em vigor na data de sua publicação.</w:t>
      </w: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B484D" w:rsidRDefault="004B484D" w:rsidP="004B484D">
      <w:pPr>
        <w:ind w:firstLine="1701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Gabinete do Prefeito Municipal, aos 11 dias do mês de Maio de 2020.</w:t>
      </w:r>
    </w:p>
    <w:p w:rsidR="004B484D" w:rsidRDefault="004B484D" w:rsidP="004B484D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4B484D" w:rsidRDefault="004B484D" w:rsidP="004B484D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4B484D" w:rsidRDefault="004B484D" w:rsidP="004B484D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4B484D" w:rsidRDefault="004B484D" w:rsidP="004B484D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4B484D" w:rsidRDefault="004B484D" w:rsidP="004B484D">
      <w:pPr>
        <w:jc w:val="center"/>
        <w:outlineLvl w:val="5"/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  <w:t>RAFAEL MACHADO</w:t>
      </w:r>
    </w:p>
    <w:p w:rsidR="004B484D" w:rsidRDefault="004B484D" w:rsidP="004B484D">
      <w:pPr>
        <w:jc w:val="center"/>
        <w:outlineLvl w:val="5"/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4"/>
          <w:szCs w:val="24"/>
        </w:rPr>
        <w:t>Prefeito Municipal</w:t>
      </w:r>
    </w:p>
    <w:p w:rsidR="004B484D" w:rsidRDefault="004B484D" w:rsidP="004B484D">
      <w:pPr>
        <w:jc w:val="both"/>
        <w:outlineLvl w:val="5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4B484D" w:rsidRDefault="004B484D" w:rsidP="004B484D">
      <w:pPr>
        <w:tabs>
          <w:tab w:val="left" w:pos="6018"/>
        </w:tabs>
        <w:jc w:val="both"/>
        <w:rPr>
          <w:rFonts w:ascii="Bookman Old Style" w:hAnsi="Bookman Old Style" w:cs="Arial"/>
          <w:iCs/>
          <w:color w:val="000000"/>
          <w:sz w:val="24"/>
          <w:szCs w:val="24"/>
        </w:rPr>
      </w:pPr>
      <w:r>
        <w:rPr>
          <w:rFonts w:ascii="Bookman Old Style" w:hAnsi="Bookman Old Style" w:cs="Arial"/>
          <w:iCs/>
          <w:color w:val="000000"/>
          <w:sz w:val="24"/>
          <w:szCs w:val="24"/>
        </w:rPr>
        <w:tab/>
      </w:r>
    </w:p>
    <w:p w:rsidR="004B484D" w:rsidRDefault="004B484D" w:rsidP="004B484D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Arial"/>
          <w:bCs/>
          <w:iCs/>
          <w:color w:val="000000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man Old Style" w:hAnsi="Bookman Old Style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4B484D" w:rsidRDefault="004B484D" w:rsidP="004B484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4B484D" w:rsidRDefault="004B484D" w:rsidP="004B484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4B484D" w:rsidRDefault="004B484D" w:rsidP="004B484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4B484D" w:rsidRDefault="004B484D" w:rsidP="004B484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GIRLEI AUGUSTO PEZ BOLZAN</w:t>
      </w:r>
    </w:p>
    <w:p w:rsidR="004B484D" w:rsidRDefault="004B484D" w:rsidP="004B484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4D4398" w:rsidRPr="004B484D" w:rsidRDefault="004D4398" w:rsidP="004B484D"/>
    <w:sectPr w:rsidR="004D4398" w:rsidRPr="004B484D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F1" w:rsidRDefault="00B704F1" w:rsidP="00502AF7">
      <w:r>
        <w:separator/>
      </w:r>
    </w:p>
  </w:endnote>
  <w:endnote w:type="continuationSeparator" w:id="1">
    <w:p w:rsidR="00B704F1" w:rsidRDefault="00B704F1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B704F1" w:rsidP="004A45C3">
    <w:pPr>
      <w:pStyle w:val="Rodap"/>
    </w:pPr>
  </w:p>
  <w:p w:rsidR="009F196D" w:rsidRPr="003D3AA8" w:rsidRDefault="00B704F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F1" w:rsidRDefault="00B704F1" w:rsidP="00502AF7">
      <w:r>
        <w:separator/>
      </w:r>
    </w:p>
  </w:footnote>
  <w:footnote w:type="continuationSeparator" w:id="1">
    <w:p w:rsidR="00B704F1" w:rsidRDefault="00B704F1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B484D"/>
    <w:rsid w:val="004D4398"/>
    <w:rsid w:val="00502AF7"/>
    <w:rsid w:val="00A906D8"/>
    <w:rsid w:val="00AB5A74"/>
    <w:rsid w:val="00B704F1"/>
    <w:rsid w:val="00F071AE"/>
    <w:rsid w:val="00FC2732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2020-06-02T12:30:00Z</dcterms:created>
  <dcterms:modified xsi:type="dcterms:W3CDTF">2020-06-02T12:30:00Z</dcterms:modified>
</cp:coreProperties>
</file>