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MENSAGEM LEGISLATIVA Nº 049, </w:t>
      </w:r>
      <w:r>
        <w:rPr>
          <w:rFonts w:ascii="Book Antiqua" w:hAnsi="Book Antiqua" w:cs="Arial"/>
          <w:b/>
          <w:sz w:val="24"/>
          <w:szCs w:val="24"/>
        </w:rPr>
        <w:t>08 DIAS DO MÊS DE JUNHO DE 2022.</w:t>
      </w:r>
    </w:p>
    <w:p w:rsidR="000F7781" w:rsidRDefault="000F7781" w:rsidP="000F7781">
      <w:pPr>
        <w:pStyle w:val="Ttulo8"/>
        <w:spacing w:before="0" w:line="360" w:lineRule="auto"/>
        <w:rPr>
          <w:rFonts w:ascii="Book Antiqua" w:hAnsi="Book Antiqua" w:cs="Times New Roman"/>
          <w:b/>
          <w:color w:val="auto"/>
          <w:sz w:val="24"/>
          <w:szCs w:val="24"/>
        </w:rPr>
      </w:pPr>
    </w:p>
    <w:p w:rsidR="000F7781" w:rsidRDefault="000F7781" w:rsidP="000F7781">
      <w:pPr>
        <w:spacing w:line="360" w:lineRule="auto"/>
        <w:outlineLvl w:val="0"/>
        <w:rPr>
          <w:rFonts w:ascii="Book Antiqua" w:hAnsi="Book Antiqua" w:cs="Times New Roman"/>
          <w:b/>
          <w:i/>
          <w:sz w:val="24"/>
          <w:szCs w:val="24"/>
        </w:rPr>
      </w:pPr>
    </w:p>
    <w:p w:rsidR="000F7781" w:rsidRDefault="000F7781" w:rsidP="000F7781">
      <w:pPr>
        <w:spacing w:before="120" w:after="120" w:line="360" w:lineRule="auto"/>
        <w:jc w:val="both"/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  <w:t>Excelentíssimo Senhor</w:t>
      </w:r>
    </w:p>
    <w:p w:rsidR="000F7781" w:rsidRDefault="000F7781" w:rsidP="000F7781">
      <w:pPr>
        <w:spacing w:before="120" w:after="120" w:line="360" w:lineRule="auto"/>
        <w:jc w:val="both"/>
        <w:rPr>
          <w:rFonts w:ascii="Book Antiqua" w:hAnsi="Book Antiqua" w:cstheme="minorHAnsi"/>
          <w:b/>
          <w:sz w:val="24"/>
          <w:szCs w:val="24"/>
        </w:rPr>
      </w:pPr>
      <w:r>
        <w:rPr>
          <w:rFonts w:ascii="Book Antiqua" w:hAnsi="Book Antiqua" w:cstheme="minorHAnsi"/>
          <w:b/>
          <w:sz w:val="24"/>
          <w:szCs w:val="24"/>
        </w:rPr>
        <w:t xml:space="preserve">WILLIAN FREITAS RODRIGUES </w:t>
      </w:r>
    </w:p>
    <w:p w:rsidR="000F7781" w:rsidRDefault="000F7781" w:rsidP="000F7781">
      <w:pPr>
        <w:spacing w:before="120" w:after="120" w:line="360" w:lineRule="auto"/>
        <w:jc w:val="both"/>
        <w:rPr>
          <w:rFonts w:ascii="Book Antiqua" w:hAnsi="Book Antiqua" w:cstheme="minorHAnsi"/>
          <w:b/>
          <w:sz w:val="24"/>
          <w:szCs w:val="24"/>
        </w:rPr>
      </w:pPr>
      <w:proofErr w:type="gramStart"/>
      <w:r>
        <w:rPr>
          <w:rFonts w:ascii="Book Antiqua" w:hAnsi="Book Antiqua" w:cstheme="minorHAnsi"/>
          <w:b/>
          <w:sz w:val="24"/>
          <w:szCs w:val="24"/>
        </w:rPr>
        <w:t>M. D.</w:t>
      </w:r>
      <w:proofErr w:type="gramEnd"/>
      <w:r>
        <w:rPr>
          <w:rFonts w:ascii="Book Antiqua" w:hAnsi="Book Antiqua" w:cstheme="minorHAnsi"/>
          <w:b/>
          <w:sz w:val="24"/>
          <w:szCs w:val="24"/>
        </w:rPr>
        <w:t xml:space="preserve"> PRESIDENTE DA CÂMARA MUNICIPAL DE VEREADORES</w:t>
      </w:r>
    </w:p>
    <w:p w:rsidR="000F7781" w:rsidRDefault="000F7781" w:rsidP="000F7781">
      <w:pPr>
        <w:spacing w:before="120" w:after="120" w:line="360" w:lineRule="auto"/>
        <w:jc w:val="both"/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 w:cstheme="minorHAnsi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0F7781" w:rsidRDefault="000F7781" w:rsidP="000F7781">
      <w:pPr>
        <w:pStyle w:val="SemEspaamento"/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0F7781" w:rsidRDefault="000F7781" w:rsidP="000F7781">
      <w:pPr>
        <w:pStyle w:val="SemEspaamento"/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  <w:t>Dirijo-me a Vossas Excelências para encaminhar o presente Projeto de Lei Complementar, que</w:t>
      </w:r>
      <w:r>
        <w:rPr>
          <w:rFonts w:ascii="Book Antiqua" w:hAnsi="Book Antiqua" w:cs="Times New Roman"/>
          <w:i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ALTERA OS ARTIGOS 200 E 201 DO CÓDIGO TRIBUTÁRIO MUNICIPPAL – LEI COMPLEMENTAR 20/2008 E DÁ OUTRAS PROVIDÊNCIAS.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Segundo o </w:t>
      </w:r>
      <w:hyperlink r:id="rId5" w:tooltip="Lei no 10.406, de 10 de janeiro de 2002." w:history="1">
        <w:r>
          <w:rPr>
            <w:rStyle w:val="Hyperlink"/>
            <w:rFonts w:ascii="Book Antiqua" w:hAnsi="Book Antiqua" w:cs="Times New Roman"/>
            <w:sz w:val="24"/>
            <w:szCs w:val="24"/>
          </w:rPr>
          <w:t>Código Civil</w:t>
        </w:r>
      </w:hyperlink>
      <w:r>
        <w:rPr>
          <w:rFonts w:ascii="Book Antiqua" w:hAnsi="Book Antiqua" w:cs="Times New Roman"/>
          <w:sz w:val="24"/>
          <w:szCs w:val="24"/>
        </w:rPr>
        <w:t> Brasileiro, art. </w:t>
      </w:r>
      <w:hyperlink r:id="rId6" w:tooltip="Artigo 1417 da Lei nº 10.406 de 10 de Janeiro de 2002" w:history="1">
        <w:r>
          <w:rPr>
            <w:rStyle w:val="Hyperlink"/>
            <w:rFonts w:ascii="Book Antiqua" w:hAnsi="Book Antiqua" w:cs="Times New Roman"/>
            <w:sz w:val="24"/>
            <w:szCs w:val="24"/>
          </w:rPr>
          <w:t>1.417</w:t>
        </w:r>
      </w:hyperlink>
      <w:r>
        <w:rPr>
          <w:rFonts w:ascii="Book Antiqua" w:hAnsi="Book Antiqua" w:cs="Times New Roman"/>
          <w:sz w:val="24"/>
          <w:szCs w:val="24"/>
        </w:rPr>
        <w:t>: “Mediante promessa de compra e venda em que se não pactuou arrependimento, celebrada por instrumento público ou particular, e registrada no Cartório de Registro de Imóveis, adquire o promitente comprador direito real à aquisição do imóvel.”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A análise dos efeitos dos contratos de promessa de compra e venda, é relevante para a sociedade, pois é de conhecimento público que esta prática de compra e venda por meio do popularmente conhecido “contrato de gaveta” é comum no mundo imobiliário, e por não ser previsto em lei apresenta complicações para as partes contratantes e também para o ente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publico</w:t>
      </w:r>
      <w:proofErr w:type="spellEnd"/>
      <w:r>
        <w:rPr>
          <w:rFonts w:ascii="Book Antiqua" w:hAnsi="Book Antiqua"/>
          <w:spacing w:val="1"/>
          <w:sz w:val="24"/>
          <w:szCs w:val="24"/>
        </w:rPr>
        <w:t>, que por vezes desconhece o real ‘dono’ do imóvel.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Os Tribunais de Justiça dos Estados majoritariamente vêm reconhecendo validade, existência e os efeitos oriundos dos denominados “Contrato de Gaveta”, no que se refere a direitos e obrigações envolvendo imóveis financiados. 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A Lei federal 6.766/79 já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trás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em seu conteúdo a figura do terceiro adquirente, ou seja, aquele comprador que aparece na relação, posterior ao financiamento/contrato do comprador direto com o loteador.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lastRenderedPageBreak/>
        <w:t xml:space="preserve">O Código Tributário Municipal, hoje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na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reconhece a relação do terceiro adquirente para fins de lançamento </w:t>
      </w:r>
      <w:proofErr w:type="gramStart"/>
      <w:r>
        <w:rPr>
          <w:rFonts w:ascii="Book Antiqua" w:hAnsi="Book Antiqua"/>
          <w:spacing w:val="1"/>
          <w:sz w:val="24"/>
          <w:szCs w:val="24"/>
        </w:rPr>
        <w:t>nos cadastro imobiliário</w:t>
      </w:r>
      <w:proofErr w:type="gramEnd"/>
      <w:r>
        <w:rPr>
          <w:rFonts w:ascii="Book Antiqua" w:hAnsi="Book Antiqua"/>
          <w:spacing w:val="1"/>
          <w:sz w:val="24"/>
          <w:szCs w:val="24"/>
        </w:rPr>
        <w:t xml:space="preserve">, o que vai de encontro ao que determina a Lei Federal acima citada e contra a realidade fática da sociedade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camponovense</w:t>
      </w:r>
      <w:proofErr w:type="spellEnd"/>
      <w:r>
        <w:rPr>
          <w:rFonts w:ascii="Book Antiqua" w:hAnsi="Book Antiqua"/>
          <w:spacing w:val="1"/>
          <w:sz w:val="24"/>
          <w:szCs w:val="24"/>
        </w:rPr>
        <w:t>.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As leis devem sempre estar em consonância constitucional e </w:t>
      </w:r>
      <w:proofErr w:type="gramStart"/>
      <w:r>
        <w:rPr>
          <w:rFonts w:ascii="Book Antiqua" w:hAnsi="Book Antiqua"/>
          <w:spacing w:val="1"/>
          <w:sz w:val="24"/>
          <w:szCs w:val="24"/>
        </w:rPr>
        <w:t>supra legal</w:t>
      </w:r>
      <w:proofErr w:type="gramEnd"/>
      <w:r>
        <w:rPr>
          <w:rFonts w:ascii="Book Antiqua" w:hAnsi="Book Antiqua"/>
          <w:spacing w:val="1"/>
          <w:sz w:val="24"/>
          <w:szCs w:val="24"/>
        </w:rPr>
        <w:t>, mas também, de forma legitima acompanhar as mudanças fáticas, jurídicas e doutrinarias.</w:t>
      </w:r>
    </w:p>
    <w:p w:rsidR="000F7781" w:rsidRDefault="000F7781" w:rsidP="000F7781">
      <w:pPr>
        <w:spacing w:line="360" w:lineRule="auto"/>
        <w:ind w:firstLine="1701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Em razão da dissonância dos artigos 200 e 201 do osso Código Tributário, é que realizamos as mudanças contidas no Projeto de Lei XX/2022, onde se normatiza e autoriza os lançamentos imobiliários, quando aparece a figura </w:t>
      </w:r>
      <w:proofErr w:type="gramStart"/>
      <w:r>
        <w:rPr>
          <w:rFonts w:ascii="Book Antiqua" w:hAnsi="Book Antiqua"/>
          <w:spacing w:val="1"/>
          <w:sz w:val="24"/>
          <w:szCs w:val="24"/>
        </w:rPr>
        <w:t>do terceira adquirente</w:t>
      </w:r>
      <w:proofErr w:type="gramEnd"/>
      <w:r>
        <w:rPr>
          <w:rFonts w:ascii="Book Antiqua" w:hAnsi="Book Antiqua"/>
          <w:spacing w:val="1"/>
          <w:sz w:val="24"/>
          <w:szCs w:val="24"/>
        </w:rPr>
        <w:t>.</w:t>
      </w:r>
    </w:p>
    <w:p w:rsidR="000F7781" w:rsidRDefault="000F7781" w:rsidP="000F7781">
      <w:pPr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Para tanto, considerando o interesse público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regime de urgência simples.</w:t>
      </w:r>
    </w:p>
    <w:p w:rsidR="000F7781" w:rsidRDefault="000F7781" w:rsidP="000F7781">
      <w:pPr>
        <w:spacing w:before="120" w:line="360" w:lineRule="auto"/>
        <w:ind w:firstLine="170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Atenciosamente, </w:t>
      </w:r>
    </w:p>
    <w:p w:rsidR="000F7781" w:rsidRDefault="000F7781" w:rsidP="000F7781">
      <w:pPr>
        <w:pStyle w:val="Default"/>
        <w:spacing w:line="360" w:lineRule="auto"/>
        <w:jc w:val="center"/>
        <w:rPr>
          <w:rFonts w:ascii="Book Antiqua" w:hAnsi="Book Antiqua" w:cs="Times New Roman"/>
          <w:b/>
          <w:bCs/>
          <w:i/>
          <w:iCs/>
          <w:color w:val="auto"/>
        </w:rPr>
      </w:pPr>
    </w:p>
    <w:p w:rsidR="000F7781" w:rsidRDefault="000F7781" w:rsidP="000F7781">
      <w:pPr>
        <w:pStyle w:val="Default"/>
        <w:spacing w:line="360" w:lineRule="auto"/>
        <w:jc w:val="center"/>
        <w:rPr>
          <w:rFonts w:ascii="Book Antiqua" w:hAnsi="Book Antiqua" w:cs="Times New Roman"/>
          <w:color w:val="auto"/>
        </w:rPr>
      </w:pPr>
      <w:r>
        <w:rPr>
          <w:rFonts w:ascii="Book Antiqua" w:hAnsi="Book Antiqua" w:cs="Times New Roman"/>
          <w:b/>
          <w:bCs/>
          <w:iCs/>
          <w:color w:val="auto"/>
        </w:rPr>
        <w:t>RAFAEL MACHADO</w:t>
      </w:r>
    </w:p>
    <w:p w:rsidR="000F7781" w:rsidRDefault="000F7781" w:rsidP="000F7781">
      <w:pPr>
        <w:pStyle w:val="Default"/>
        <w:spacing w:line="360" w:lineRule="auto"/>
        <w:jc w:val="center"/>
        <w:rPr>
          <w:rFonts w:ascii="Book Antiqua" w:hAnsi="Book Antiqua" w:cs="Times New Roman"/>
          <w:b/>
          <w:bCs/>
          <w:iCs/>
          <w:color w:val="auto"/>
        </w:rPr>
      </w:pPr>
      <w:r>
        <w:rPr>
          <w:rFonts w:ascii="Book Antiqua" w:hAnsi="Book Antiqua" w:cs="Times New Roman"/>
          <w:b/>
          <w:bCs/>
          <w:iCs/>
          <w:color w:val="auto"/>
        </w:rPr>
        <w:t>Prefeito Municipal</w:t>
      </w: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PROJETO DE LEI COMPLEMENTAR Nº. 10</w:t>
      </w:r>
    </w:p>
    <w:p w:rsidR="000F7781" w:rsidRDefault="000F7781" w:rsidP="000F7781">
      <w:pPr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right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08 dias do mês de junho de 2022.</w:t>
      </w:r>
    </w:p>
    <w:p w:rsidR="000F7781" w:rsidRDefault="000F7781" w:rsidP="000F7781">
      <w:pPr>
        <w:spacing w:before="120" w:after="120"/>
        <w:jc w:val="both"/>
        <w:rPr>
          <w:rFonts w:ascii="Book Antiqua" w:hAnsi="Book Antiqua" w:cs="Arial"/>
          <w:b/>
          <w:sz w:val="24"/>
          <w:szCs w:val="24"/>
        </w:rPr>
      </w:pPr>
      <w:bookmarkStart w:id="0" w:name="_GoBack"/>
    </w:p>
    <w:p w:rsidR="000F7781" w:rsidRDefault="000F7781" w:rsidP="000F7781">
      <w:pPr>
        <w:spacing w:before="120" w:after="120"/>
        <w:ind w:left="3969" w:hanging="141"/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ab/>
        <w:t>ALTERA OS ARTIGOS 200 E 201 DO CÓDIGO TRIBUTÁRIO MUNICIPAL – LEI COMPLEMENTAR 20/2008 E DÁ OUTRAS PROVIDÊNCIAS</w:t>
      </w:r>
      <w:r>
        <w:rPr>
          <w:rFonts w:ascii="Book Antiqua" w:hAnsi="Book Antiqua" w:cs="Arial"/>
          <w:b/>
          <w:sz w:val="24"/>
          <w:szCs w:val="24"/>
        </w:rPr>
        <w:t>.</w:t>
      </w:r>
    </w:p>
    <w:p w:rsidR="000F7781" w:rsidRDefault="000F7781" w:rsidP="000F7781">
      <w:pPr>
        <w:spacing w:before="120" w:after="120"/>
        <w:ind w:left="3969" w:hanging="141"/>
        <w:jc w:val="both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  <w:t>RAFAEL MACHADO</w:t>
      </w:r>
      <w:r>
        <w:rPr>
          <w:rFonts w:ascii="Book Antiqua" w:hAnsi="Book Antiqua" w:cs="Arial"/>
          <w:b/>
          <w:i/>
          <w:sz w:val="24"/>
          <w:szCs w:val="24"/>
        </w:rPr>
        <w:t xml:space="preserve">, </w:t>
      </w:r>
      <w:r>
        <w:rPr>
          <w:rFonts w:ascii="Book Antiqua" w:hAnsi="Book Antiqua" w:cs="Arial"/>
          <w:sz w:val="24"/>
          <w:szCs w:val="24"/>
        </w:rPr>
        <w:t>Prefeito Municipal de Campo Novo do Parecis, Estado de Mato Grosso, faz saber que a Câmara Municipal aprovou e eu sanciono a seguinte Lei:</w:t>
      </w:r>
      <w:bookmarkStart w:id="1" w:name="artigo_1"/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bookmarkEnd w:id="1"/>
      <w:r>
        <w:rPr>
          <w:rFonts w:ascii="Book Antiqua" w:hAnsi="Book Antiqua" w:cs="Arial"/>
          <w:sz w:val="24"/>
          <w:szCs w:val="24"/>
        </w:rPr>
        <w:br/>
      </w:r>
      <w:r>
        <w:rPr>
          <w:rStyle w:val="label"/>
          <w:rFonts w:ascii="Book Antiqua" w:hAnsi="Book Antiqua" w:cs="Arial"/>
          <w:b/>
          <w:sz w:val="24"/>
          <w:szCs w:val="24"/>
        </w:rPr>
        <w:t>Art. 1º</w:t>
      </w:r>
      <w:r>
        <w:rPr>
          <w:rFonts w:ascii="Book Antiqua" w:hAnsi="Book Antiqua" w:cs="Arial"/>
          <w:sz w:val="24"/>
          <w:szCs w:val="24"/>
        </w:rPr>
        <w:t xml:space="preserve"> Altera o art. 200, insere o inciso I, do Código Tributário Municipal (LC 20/2008) que passa a vigorar com a seguinte redação:</w:t>
      </w: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Arial"/>
          <w:bCs/>
          <w:i/>
          <w:sz w:val="24"/>
          <w:szCs w:val="24"/>
        </w:rPr>
      </w:pPr>
      <w:bookmarkStart w:id="2" w:name="artigo_200"/>
      <w:r>
        <w:rPr>
          <w:rFonts w:ascii="Book Antiqua" w:hAnsi="Book Antiqua" w:cs="Arial"/>
          <w:bCs/>
          <w:i/>
          <w:sz w:val="24"/>
          <w:szCs w:val="24"/>
        </w:rPr>
        <w:t>Art. 200</w:t>
      </w:r>
      <w:bookmarkEnd w:id="2"/>
      <w:r>
        <w:rPr>
          <w:rFonts w:ascii="Book Antiqua" w:hAnsi="Book Antiqua" w:cs="Arial"/>
          <w:bCs/>
          <w:i/>
          <w:sz w:val="24"/>
          <w:szCs w:val="24"/>
        </w:rPr>
        <w:t> A inscrição no Cadastro Imobiliário é obrigatória e far-se-á a pedido ou de ofício, devendo ser instruída com os elementos necessários para o lançamento do Imposto Predial e Territorial Urbano, tendo como titular o proprietário através de escritura pública ou possuidor com documento particular, formal de partilha ou carta de adjudicação, ou ainda contrato de compromisso de compra e venda a prazo.</w:t>
      </w: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Arial"/>
          <w:bCs/>
          <w:i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Arial"/>
          <w:bCs/>
          <w:i/>
          <w:sz w:val="24"/>
          <w:szCs w:val="24"/>
        </w:rPr>
      </w:pPr>
      <w:r>
        <w:rPr>
          <w:rFonts w:ascii="Book Antiqua" w:hAnsi="Book Antiqua" w:cs="Arial"/>
          <w:bCs/>
          <w:i/>
          <w:sz w:val="24"/>
          <w:szCs w:val="24"/>
        </w:rPr>
        <w:t>I. O contrato particular pode ser transferido por simples trespasse, lançado no verso das vias em poder das partes, ou por instrumento em separado, declarando-se o número do registro do loteamento, o valor da cessão e a qualificação do cessionário, para o devido registro.</w:t>
      </w: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Style w:val="label"/>
          <w:rFonts w:ascii="Book Antiqua" w:hAnsi="Book Antiqua" w:cs="Arial"/>
          <w:b/>
          <w:sz w:val="24"/>
          <w:szCs w:val="24"/>
        </w:rPr>
        <w:t>Art. 2º</w:t>
      </w:r>
      <w:r>
        <w:rPr>
          <w:rFonts w:ascii="Book Antiqua" w:hAnsi="Book Antiqua" w:cs="Arial"/>
          <w:sz w:val="24"/>
          <w:szCs w:val="24"/>
        </w:rPr>
        <w:t xml:space="preserve"> Cria os incisos I, II e III, e altera o §5º do art. 201 do Código Tributário Municipal (LC 20/</w:t>
      </w:r>
      <w:proofErr w:type="gramStart"/>
      <w:r>
        <w:rPr>
          <w:rFonts w:ascii="Book Antiqua" w:hAnsi="Book Antiqua" w:cs="Arial"/>
          <w:sz w:val="24"/>
          <w:szCs w:val="24"/>
        </w:rPr>
        <w:t>2008 )</w:t>
      </w:r>
      <w:proofErr w:type="gramEnd"/>
      <w:r>
        <w:rPr>
          <w:rFonts w:ascii="Book Antiqua" w:hAnsi="Book Antiqua" w:cs="Arial"/>
          <w:sz w:val="24"/>
          <w:szCs w:val="24"/>
        </w:rPr>
        <w:t xml:space="preserve"> que passa a vigorar com a seguinte redação:</w:t>
      </w: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Calibri"/>
          <w:i/>
          <w:sz w:val="24"/>
          <w:szCs w:val="24"/>
          <w:shd w:val="clear" w:color="auto" w:fill="FFFFFF"/>
        </w:rPr>
      </w:pPr>
      <w:r>
        <w:rPr>
          <w:rFonts w:ascii="Book Antiqua" w:hAnsi="Book Antiqua" w:cs="Calibri"/>
          <w:i/>
          <w:sz w:val="24"/>
          <w:szCs w:val="24"/>
          <w:shd w:val="clear" w:color="auto" w:fill="FFFFFF"/>
        </w:rPr>
        <w:t xml:space="preserve">§ 5º Os loteamentos aprovados e enquadrados na legislação urbanística terão </w:t>
      </w:r>
      <w:r>
        <w:rPr>
          <w:rFonts w:ascii="Book Antiqua" w:hAnsi="Book Antiqua" w:cs="Arial"/>
          <w:bCs/>
          <w:i/>
          <w:sz w:val="24"/>
          <w:szCs w:val="24"/>
        </w:rPr>
        <w:t>seus</w:t>
      </w:r>
      <w:r>
        <w:rPr>
          <w:rFonts w:ascii="Book Antiqua" w:hAnsi="Book Antiqua" w:cs="Calibri"/>
          <w:i/>
          <w:sz w:val="24"/>
          <w:szCs w:val="24"/>
          <w:shd w:val="clear" w:color="auto" w:fill="FFFFFF"/>
        </w:rPr>
        <w:t xml:space="preserve"> lançamentos efetuados por lotes resultantes da subdivisão, independentemente da aceitação, que deverão ser lançados em nome do loteador ou em nome do promitente comprador que celebrar com o loteador um contrato de compromisso de compra e venda a prazo,</w:t>
      </w: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Calibri"/>
          <w:i/>
          <w:sz w:val="24"/>
          <w:szCs w:val="24"/>
          <w:shd w:val="clear" w:color="auto" w:fill="FFFFFF"/>
        </w:rPr>
      </w:pP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Calibri"/>
          <w:i/>
          <w:sz w:val="24"/>
          <w:szCs w:val="24"/>
          <w:shd w:val="clear" w:color="auto" w:fill="FFFFFF"/>
        </w:rPr>
      </w:pPr>
      <w:r>
        <w:rPr>
          <w:rFonts w:ascii="Book Antiqua" w:hAnsi="Book Antiqua" w:cs="Calibri"/>
          <w:i/>
          <w:sz w:val="24"/>
          <w:szCs w:val="24"/>
          <w:shd w:val="clear" w:color="auto" w:fill="FFFFFF"/>
        </w:rPr>
        <w:t xml:space="preserve">I – Caberá o mesmo procedimento aos contratos de compromisso de compra e venda a prazo na cessão de direitos do adquirente para terceiros. </w:t>
      </w: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Arial"/>
          <w:i/>
          <w:sz w:val="24"/>
          <w:szCs w:val="24"/>
        </w:rPr>
      </w:pPr>
      <w:r>
        <w:rPr>
          <w:rFonts w:ascii="Book Antiqua" w:hAnsi="Book Antiqua" w:cs="Calibri"/>
          <w:i/>
          <w:sz w:val="24"/>
          <w:szCs w:val="24"/>
          <w:shd w:val="clear" w:color="auto" w:fill="FFFFFF"/>
        </w:rPr>
        <w:t xml:space="preserve">II- </w:t>
      </w:r>
      <w:r>
        <w:rPr>
          <w:rFonts w:ascii="Book Antiqua" w:hAnsi="Book Antiqua" w:cs="Arial"/>
          <w:i/>
          <w:sz w:val="24"/>
          <w:szCs w:val="24"/>
        </w:rPr>
        <w:t>São irretratáveis os compromissos de compra e venda, cessões e promessas de cessão, os que atribuam direito a adjudicação compulsória e, estando registrados, confiram direito real oponível a terceiros.</w:t>
      </w:r>
      <w:bookmarkStart w:id="3" w:name="art26"/>
      <w:bookmarkEnd w:id="3"/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 w:cs="Calibri"/>
          <w:i/>
          <w:sz w:val="24"/>
          <w:szCs w:val="24"/>
          <w:shd w:val="clear" w:color="auto" w:fill="FFFFFF"/>
        </w:rPr>
        <w:t>III-</w:t>
      </w:r>
      <w:r>
        <w:rPr>
          <w:rFonts w:ascii="Book Antiqua" w:hAnsi="Book Antiqua" w:cs="Arial"/>
          <w:i/>
          <w:sz w:val="24"/>
          <w:szCs w:val="24"/>
        </w:rPr>
        <w:t xml:space="preserve"> Os compromissos de compra e venda, as cessões ou promessas de cessão poderão ser feitos por escritura pública ou por instrumento particular, devendo conter, pelo menos, as seguintes indicações: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4" w:name="art26i"/>
      <w:bookmarkEnd w:id="4"/>
      <w:r>
        <w:rPr>
          <w:rFonts w:ascii="Book Antiqua" w:hAnsi="Book Antiqua" w:cs="Arial"/>
          <w:i/>
        </w:rPr>
        <w:t>nome, registro civil, cadastro fiscal no Ministério da Fazenda, nacionalidade, estado civil e residência dos contratantes;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5" w:name="art26ii"/>
      <w:bookmarkEnd w:id="5"/>
      <w:r>
        <w:rPr>
          <w:rFonts w:ascii="Book Antiqua" w:hAnsi="Book Antiqua" w:cs="Arial"/>
          <w:i/>
        </w:rPr>
        <w:t>denominação e situação do loteamento, número e data da inscrição;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6" w:name="art26iii"/>
      <w:bookmarkEnd w:id="6"/>
      <w:r>
        <w:rPr>
          <w:rFonts w:ascii="Book Antiqua" w:hAnsi="Book Antiqua" w:cs="Arial"/>
          <w:i/>
        </w:rPr>
        <w:t>descrição do lote ou dos lotes que forem objeto de compromissos, confrontações, área e outras características;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7" w:name="art26iv"/>
      <w:bookmarkEnd w:id="7"/>
      <w:r>
        <w:rPr>
          <w:rFonts w:ascii="Book Antiqua" w:hAnsi="Book Antiqua" w:cs="Arial"/>
          <w:i/>
        </w:rPr>
        <w:t>preço, prazo, forma e local de pagamento bem como a importância do sinal;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8" w:name="art26v"/>
      <w:bookmarkEnd w:id="8"/>
      <w:r>
        <w:rPr>
          <w:rFonts w:ascii="Book Antiqua" w:hAnsi="Book Antiqua" w:cs="Arial"/>
          <w:i/>
        </w:rPr>
        <w:t>taxa de juros incidentes sobre o débito em aberto e sobre as prestações vencidas e não pagas, bem como a cláusula penal, nunca excedente a 10% (dez por cento) do débito e só exigível nos casos de intervenção judicial ou de mora superior a 3 (três) meses;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9" w:name="art26vi"/>
      <w:bookmarkEnd w:id="9"/>
      <w:r>
        <w:rPr>
          <w:rFonts w:ascii="Book Antiqua" w:hAnsi="Book Antiqua" w:cs="Arial"/>
          <w:i/>
        </w:rPr>
        <w:t>indicação sobre a quem incumbe o pagamento dos impostos e taxas incidentes sobre o lote compromissado;</w:t>
      </w:r>
    </w:p>
    <w:p w:rsidR="000F7781" w:rsidRDefault="000F7781" w:rsidP="000F7781">
      <w:pPr>
        <w:pStyle w:val="p5"/>
        <w:numPr>
          <w:ilvl w:val="0"/>
          <w:numId w:val="1"/>
        </w:numPr>
        <w:spacing w:before="120" w:beforeAutospacing="0" w:after="120" w:afterAutospacing="0" w:line="276" w:lineRule="auto"/>
        <w:ind w:left="1701" w:firstLine="0"/>
        <w:jc w:val="both"/>
        <w:rPr>
          <w:rFonts w:ascii="Book Antiqua" w:hAnsi="Book Antiqua"/>
          <w:i/>
        </w:rPr>
      </w:pPr>
      <w:bookmarkStart w:id="10" w:name="art26vii"/>
      <w:bookmarkEnd w:id="10"/>
      <w:r>
        <w:rPr>
          <w:rFonts w:ascii="Book Antiqua" w:hAnsi="Book Antiqua" w:cs="Arial"/>
          <w:i/>
        </w:rPr>
        <w:t>declaração das restrições urbanísticas convencionais do loteamento, supletivas da legislação pertinente.</w:t>
      </w:r>
    </w:p>
    <w:p w:rsidR="000F7781" w:rsidRDefault="000F7781" w:rsidP="000F7781">
      <w:pPr>
        <w:pStyle w:val="p13"/>
        <w:spacing w:before="120" w:beforeAutospacing="0" w:after="120" w:afterAutospacing="0" w:line="276" w:lineRule="auto"/>
        <w:ind w:left="1701"/>
        <w:jc w:val="both"/>
        <w:rPr>
          <w:rFonts w:ascii="Book Antiqua" w:hAnsi="Book Antiqua"/>
          <w:i/>
        </w:rPr>
      </w:pPr>
      <w:bookmarkStart w:id="11" w:name="art26§1"/>
      <w:bookmarkEnd w:id="11"/>
      <w:r>
        <w:rPr>
          <w:rFonts w:ascii="Book Antiqua" w:hAnsi="Book Antiqua" w:cs="Arial"/>
          <w:i/>
        </w:rPr>
        <w:t>§ 1</w:t>
      </w:r>
      <w:r>
        <w:rPr>
          <w:rFonts w:ascii="Book Antiqua" w:hAnsi="Book Antiqua" w:cs="Arial"/>
          <w:i/>
          <w:u w:val="single"/>
          <w:vertAlign w:val="superscript"/>
        </w:rPr>
        <w:t>o</w:t>
      </w:r>
      <w:r>
        <w:rPr>
          <w:rFonts w:ascii="Book Antiqua" w:hAnsi="Book Antiqua" w:cs="Arial"/>
          <w:i/>
        </w:rPr>
        <w:t> O contrato deverá ser firmado em 3 (três) vias ou extraídas em 3 (três) traslados, sendo um para cada parte e o terceiro para arquivo no registro imobiliário, após o registro e anotações devidas.</w:t>
      </w:r>
    </w:p>
    <w:p w:rsidR="000F7781" w:rsidRDefault="000F7781" w:rsidP="000F7781">
      <w:pPr>
        <w:pStyle w:val="p13"/>
        <w:spacing w:before="120" w:beforeAutospacing="0" w:after="120" w:afterAutospacing="0" w:line="276" w:lineRule="auto"/>
        <w:ind w:left="1701"/>
        <w:jc w:val="both"/>
        <w:rPr>
          <w:rFonts w:ascii="Book Antiqua" w:hAnsi="Book Antiqua"/>
          <w:i/>
        </w:rPr>
      </w:pPr>
      <w:bookmarkStart w:id="12" w:name="art26§2"/>
      <w:bookmarkEnd w:id="12"/>
      <w:r>
        <w:rPr>
          <w:rFonts w:ascii="Book Antiqua" w:hAnsi="Book Antiqua" w:cs="Arial"/>
          <w:i/>
        </w:rPr>
        <w:t>§ 2</w:t>
      </w:r>
      <w:r>
        <w:rPr>
          <w:rFonts w:ascii="Book Antiqua" w:hAnsi="Book Antiqua" w:cs="Arial"/>
          <w:i/>
          <w:u w:val="single"/>
          <w:vertAlign w:val="superscript"/>
        </w:rPr>
        <w:t>o</w:t>
      </w:r>
      <w:r>
        <w:rPr>
          <w:rFonts w:ascii="Book Antiqua" w:hAnsi="Book Antiqua" w:cs="Arial"/>
          <w:i/>
        </w:rPr>
        <w:t> Quando o contrato houver sido firmado por procurador de qualquer das partes, será obrigatório o arquivamento da procuração no registro imobiliário.</w:t>
      </w:r>
    </w:p>
    <w:p w:rsidR="000F7781" w:rsidRDefault="000F7781" w:rsidP="000F7781">
      <w:pPr>
        <w:pStyle w:val="SemEspaamento"/>
        <w:spacing w:before="120" w:after="120" w:line="276" w:lineRule="auto"/>
        <w:ind w:left="1701"/>
        <w:jc w:val="both"/>
        <w:rPr>
          <w:rFonts w:ascii="Book Antiqua" w:hAnsi="Book Antiqua" w:cs="Arial"/>
          <w:i/>
          <w:sz w:val="24"/>
          <w:szCs w:val="24"/>
        </w:rPr>
      </w:pPr>
    </w:p>
    <w:p w:rsidR="000F7781" w:rsidRDefault="000F7781" w:rsidP="000F7781">
      <w:pPr>
        <w:widowControl w:val="0"/>
        <w:tabs>
          <w:tab w:val="left" w:pos="9071"/>
        </w:tabs>
        <w:autoSpaceDE w:val="0"/>
        <w:autoSpaceDN w:val="0"/>
        <w:adjustRightInd w:val="0"/>
        <w:spacing w:before="120" w:after="120"/>
        <w:ind w:right="-1"/>
        <w:jc w:val="both"/>
        <w:rPr>
          <w:rFonts w:ascii="Book Antiqua" w:hAnsi="Book Antiqua" w:cs="Arial"/>
          <w:sz w:val="24"/>
          <w:szCs w:val="24"/>
        </w:rPr>
      </w:pPr>
      <w:bookmarkStart w:id="13" w:name="artigo_17"/>
      <w:r>
        <w:rPr>
          <w:rStyle w:val="label"/>
          <w:rFonts w:ascii="Book Antiqua" w:hAnsi="Book Antiqua" w:cs="Arial"/>
          <w:b/>
          <w:sz w:val="24"/>
          <w:szCs w:val="24"/>
        </w:rPr>
        <w:t>Art. 3º.</w:t>
      </w:r>
      <w:bookmarkEnd w:id="13"/>
      <w:r>
        <w:rPr>
          <w:rFonts w:ascii="Book Antiqua" w:hAnsi="Book Antiqua" w:cs="Arial"/>
          <w:sz w:val="24"/>
          <w:szCs w:val="24"/>
        </w:rPr>
        <w:t xml:space="preserve"> Ficam revogadas as demais disposições em contrário.</w:t>
      </w: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pStyle w:val="SemEspaamento"/>
        <w:spacing w:before="120" w:after="120" w:line="276" w:lineRule="auto"/>
        <w:jc w:val="both"/>
        <w:rPr>
          <w:rStyle w:val="label"/>
        </w:rPr>
      </w:pPr>
      <w:r>
        <w:rPr>
          <w:rStyle w:val="label"/>
          <w:rFonts w:ascii="Book Antiqua" w:hAnsi="Book Antiqua" w:cs="Arial"/>
          <w:b/>
          <w:sz w:val="24"/>
          <w:szCs w:val="24"/>
        </w:rPr>
        <w:t>Art. 4º</w:t>
      </w:r>
      <w:r>
        <w:rPr>
          <w:rFonts w:ascii="Book Antiqua" w:hAnsi="Book Antiqua" w:cs="Arial"/>
          <w:sz w:val="24"/>
          <w:szCs w:val="24"/>
        </w:rPr>
        <w:t xml:space="preserve"> Esta Lei entra em vigor na data de sua publicação.</w:t>
      </w:r>
    </w:p>
    <w:p w:rsidR="000F7781" w:rsidRDefault="000F7781" w:rsidP="000F7781">
      <w:pPr>
        <w:spacing w:before="120" w:after="120"/>
        <w:jc w:val="both"/>
      </w:pPr>
    </w:p>
    <w:bookmarkEnd w:id="0"/>
    <w:p w:rsidR="000F7781" w:rsidRDefault="000F7781" w:rsidP="000F7781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ab/>
      </w:r>
      <w:r>
        <w:rPr>
          <w:rFonts w:ascii="Book Antiqua" w:hAnsi="Book Antiqua" w:cs="Arial"/>
          <w:sz w:val="24"/>
          <w:szCs w:val="24"/>
        </w:rPr>
        <w:tab/>
      </w:r>
    </w:p>
    <w:p w:rsidR="000F7781" w:rsidRDefault="000F7781" w:rsidP="000F7781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Gabinete do Prefeito Municipal de Campo Novo do Parecis, aos 08 dias do mês de junho de 2022.</w:t>
      </w:r>
    </w:p>
    <w:p w:rsidR="000F7781" w:rsidRDefault="000F7781" w:rsidP="000F7781">
      <w:pPr>
        <w:spacing w:before="120" w:after="120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spacing w:before="120" w:after="120"/>
        <w:rPr>
          <w:rFonts w:ascii="Book Antiqua" w:hAnsi="Book Antiqua" w:cs="Arial"/>
          <w:sz w:val="24"/>
          <w:szCs w:val="24"/>
        </w:rPr>
      </w:pP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RAFAEL MACHADO</w:t>
      </w: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Prefeito Municipal</w:t>
      </w: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pStyle w:val="Corpodetexto"/>
        <w:ind w:firstLine="1416"/>
        <w:rPr>
          <w:rFonts w:ascii="Book Antiqua" w:hAnsi="Book Antiqua" w:cs="Arial"/>
          <w:i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F7781" w:rsidRDefault="000F7781" w:rsidP="000F7781">
      <w:pPr>
        <w:pStyle w:val="Recuodecorpodetexto"/>
        <w:spacing w:after="0"/>
        <w:ind w:left="0"/>
        <w:jc w:val="center"/>
        <w:rPr>
          <w:rFonts w:ascii="Book Antiqua" w:hAnsi="Book Antiqua" w:cstheme="minorHAnsi"/>
          <w:b/>
          <w:bCs/>
          <w:smallCaps/>
          <w:sz w:val="24"/>
          <w:szCs w:val="24"/>
        </w:rPr>
      </w:pPr>
    </w:p>
    <w:p w:rsidR="000F7781" w:rsidRDefault="000F7781" w:rsidP="000F7781">
      <w:pPr>
        <w:pStyle w:val="Recuodecorpodetexto"/>
        <w:spacing w:after="0"/>
        <w:ind w:left="0"/>
        <w:jc w:val="center"/>
        <w:rPr>
          <w:rFonts w:ascii="Book Antiqua" w:hAnsi="Book Antiqua" w:cstheme="minorHAnsi"/>
          <w:b/>
          <w:bCs/>
          <w:smallCaps/>
          <w:sz w:val="24"/>
          <w:szCs w:val="24"/>
        </w:rPr>
      </w:pPr>
    </w:p>
    <w:p w:rsidR="000F7781" w:rsidRDefault="000F7781" w:rsidP="000F7781">
      <w:pPr>
        <w:pStyle w:val="Recuodecorpodetexto"/>
        <w:spacing w:after="0"/>
        <w:ind w:left="0"/>
        <w:jc w:val="center"/>
        <w:rPr>
          <w:rFonts w:ascii="Book Antiqua" w:hAnsi="Book Antiqua" w:cstheme="minorHAnsi"/>
          <w:b/>
          <w:bCs/>
          <w:smallCaps/>
          <w:sz w:val="24"/>
          <w:szCs w:val="24"/>
        </w:rPr>
      </w:pPr>
    </w:p>
    <w:p w:rsidR="000F7781" w:rsidRDefault="000F7781" w:rsidP="000F7781">
      <w:pPr>
        <w:pStyle w:val="Recuodecorpodetexto"/>
        <w:spacing w:after="0"/>
        <w:ind w:left="0"/>
        <w:jc w:val="center"/>
        <w:rPr>
          <w:rFonts w:ascii="Book Antiqua" w:hAnsi="Book Antiqua" w:cstheme="minorHAnsi"/>
          <w:b/>
          <w:bCs/>
          <w:smallCaps/>
          <w:sz w:val="24"/>
          <w:szCs w:val="24"/>
        </w:rPr>
      </w:pPr>
      <w:r>
        <w:rPr>
          <w:rFonts w:ascii="Book Antiqua" w:hAnsi="Book Antiqua" w:cstheme="minorHAnsi"/>
          <w:b/>
          <w:bCs/>
          <w:smallCaps/>
          <w:sz w:val="24"/>
          <w:szCs w:val="24"/>
        </w:rPr>
        <w:t xml:space="preserve">Marcio Antão </w:t>
      </w:r>
      <w:proofErr w:type="spellStart"/>
      <w:r>
        <w:rPr>
          <w:rFonts w:ascii="Book Antiqua" w:hAnsi="Book Antiqua" w:cstheme="minorHAnsi"/>
          <w:b/>
          <w:bCs/>
          <w:smallCaps/>
          <w:sz w:val="24"/>
          <w:szCs w:val="24"/>
        </w:rPr>
        <w:t>Canterle</w:t>
      </w:r>
      <w:proofErr w:type="spellEnd"/>
      <w:r>
        <w:rPr>
          <w:rFonts w:ascii="Book Antiqua" w:hAnsi="Book Antiqua" w:cstheme="minorHAnsi"/>
          <w:b/>
          <w:bCs/>
          <w:smallCaps/>
          <w:sz w:val="24"/>
          <w:szCs w:val="24"/>
        </w:rPr>
        <w:t xml:space="preserve"> </w:t>
      </w:r>
    </w:p>
    <w:p w:rsidR="000F7781" w:rsidRDefault="000F7781" w:rsidP="000F7781">
      <w:pPr>
        <w:ind w:right="-51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Secretário Municipal de Administração</w:t>
      </w:r>
    </w:p>
    <w:p w:rsidR="000F7781" w:rsidRDefault="000F7781" w:rsidP="000F7781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</w:p>
    <w:p w:rsidR="000F7781" w:rsidRDefault="000F7781" w:rsidP="000F7781">
      <w:pPr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2F5D54" w:rsidRDefault="002F5D54"/>
    <w:sectPr w:rsidR="002F5D5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7BE6"/>
    <w:multiLevelType w:val="hybridMultilevel"/>
    <w:tmpl w:val="06949E8A"/>
    <w:lvl w:ilvl="0" w:tplc="04160017">
      <w:start w:val="1"/>
      <w:numFmt w:val="lowerLetter"/>
      <w:lvlText w:val="%1)"/>
      <w:lvlJc w:val="left"/>
      <w:pPr>
        <w:ind w:left="1245" w:hanging="360"/>
      </w:pPr>
    </w:lvl>
    <w:lvl w:ilvl="1" w:tplc="04160019">
      <w:start w:val="1"/>
      <w:numFmt w:val="lowerLetter"/>
      <w:lvlText w:val="%2."/>
      <w:lvlJc w:val="left"/>
      <w:pPr>
        <w:ind w:left="1965" w:hanging="360"/>
      </w:pPr>
    </w:lvl>
    <w:lvl w:ilvl="2" w:tplc="0416001B">
      <w:start w:val="1"/>
      <w:numFmt w:val="lowerRoman"/>
      <w:lvlText w:val="%3."/>
      <w:lvlJc w:val="right"/>
      <w:pPr>
        <w:ind w:left="2685" w:hanging="180"/>
      </w:pPr>
    </w:lvl>
    <w:lvl w:ilvl="3" w:tplc="0416000F">
      <w:start w:val="1"/>
      <w:numFmt w:val="decimal"/>
      <w:lvlText w:val="%4."/>
      <w:lvlJc w:val="left"/>
      <w:pPr>
        <w:ind w:left="3405" w:hanging="360"/>
      </w:pPr>
    </w:lvl>
    <w:lvl w:ilvl="4" w:tplc="04160019">
      <w:start w:val="1"/>
      <w:numFmt w:val="lowerLetter"/>
      <w:lvlText w:val="%5."/>
      <w:lvlJc w:val="left"/>
      <w:pPr>
        <w:ind w:left="4125" w:hanging="360"/>
      </w:pPr>
    </w:lvl>
    <w:lvl w:ilvl="5" w:tplc="0416001B">
      <w:start w:val="1"/>
      <w:numFmt w:val="lowerRoman"/>
      <w:lvlText w:val="%6."/>
      <w:lvlJc w:val="right"/>
      <w:pPr>
        <w:ind w:left="4845" w:hanging="180"/>
      </w:pPr>
    </w:lvl>
    <w:lvl w:ilvl="6" w:tplc="0416000F">
      <w:start w:val="1"/>
      <w:numFmt w:val="decimal"/>
      <w:lvlText w:val="%7."/>
      <w:lvlJc w:val="left"/>
      <w:pPr>
        <w:ind w:left="5565" w:hanging="360"/>
      </w:pPr>
    </w:lvl>
    <w:lvl w:ilvl="7" w:tplc="04160019">
      <w:start w:val="1"/>
      <w:numFmt w:val="lowerLetter"/>
      <w:lvlText w:val="%8."/>
      <w:lvlJc w:val="left"/>
      <w:pPr>
        <w:ind w:left="6285" w:hanging="360"/>
      </w:pPr>
    </w:lvl>
    <w:lvl w:ilvl="8" w:tplc="0416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7781"/>
    <w:rsid w:val="001915A3"/>
    <w:rsid w:val="00217F62"/>
    <w:rsid w:val="002F5D5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A2BF"/>
  <w15:docId w15:val="{679F3940-BCB1-4C20-9B4F-B4F71BBD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7781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778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7781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7781"/>
  </w:style>
  <w:style w:type="paragraph" w:styleId="SemEspaamento">
    <w:name w:val="No Spacing"/>
    <w:uiPriority w:val="1"/>
    <w:qFormat/>
    <w:rsid w:val="000F7781"/>
    <w:rPr>
      <w:rFonts w:ascii="Calibri" w:eastAsia="Calibri" w:hAnsi="Calibri" w:cs="Times New Roman"/>
    </w:rPr>
  </w:style>
  <w:style w:type="paragraph" w:customStyle="1" w:styleId="Default">
    <w:name w:val="Default"/>
    <w:rsid w:val="000F778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p5">
    <w:name w:val="p5"/>
    <w:basedOn w:val="Normal"/>
    <w:rsid w:val="000F7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rsid w:val="000F7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0F7781"/>
  </w:style>
  <w:style w:type="character" w:styleId="Hyperlink">
    <w:name w:val="Hyperlink"/>
    <w:basedOn w:val="Fontepargpadro"/>
    <w:uiPriority w:val="99"/>
    <w:semiHidden/>
    <w:unhideWhenUsed/>
    <w:rsid w:val="000F7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639534/artigo-1417-da-lei-n-10406-de-10-de-janeiro-de-2002" TargetMode="External"/><Relationship Id="rId5" Type="http://schemas.openxmlformats.org/officeDocument/2006/relationships/hyperlink" Target="https://www.jusbrasil.com.br/legislacao/1028078/c%C3%B3digo-civil-lei-10406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2</cp:revision>
  <dcterms:created xsi:type="dcterms:W3CDTF">2022-08-03T11:41:00Z</dcterms:created>
  <dcterms:modified xsi:type="dcterms:W3CDTF">2022-08-03T11:42:00Z</dcterms:modified>
</cp:coreProperties>
</file>