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371C5" w14:textId="3ACAEDFF" w:rsidR="00915264" w:rsidRPr="009A1ACA" w:rsidRDefault="004E46E0" w:rsidP="00915264">
      <w:pPr>
        <w:spacing w:before="120" w:after="120" w:line="320" w:lineRule="atLeast"/>
        <w:rPr>
          <w:rFonts w:ascii="Open Sans" w:hAnsi="Open Sans" w:cs="Open Sans"/>
          <w:b/>
          <w:sz w:val="24"/>
          <w:szCs w:val="24"/>
        </w:rPr>
      </w:pPr>
      <w:r w:rsidRPr="003235DA">
        <w:rPr>
          <w:rFonts w:ascii="Arial" w:hAnsi="Arial" w:cs="Arial"/>
          <w:b/>
          <w:color w:val="000000"/>
          <w:sz w:val="24"/>
          <w:szCs w:val="24"/>
        </w:rPr>
        <w:t>PROJETO DE LEI</w:t>
      </w:r>
      <w:r w:rsidR="00652A0F">
        <w:rPr>
          <w:rFonts w:ascii="Arial" w:hAnsi="Arial" w:cs="Arial"/>
          <w:b/>
          <w:color w:val="000000"/>
          <w:sz w:val="24"/>
          <w:szCs w:val="24"/>
        </w:rPr>
        <w:t xml:space="preserve"> COMPLEMENTAR</w:t>
      </w:r>
      <w:r w:rsidRPr="003235DA">
        <w:rPr>
          <w:rFonts w:ascii="Arial" w:hAnsi="Arial" w:cs="Arial"/>
          <w:b/>
          <w:color w:val="000000"/>
          <w:sz w:val="24"/>
          <w:szCs w:val="24"/>
        </w:rPr>
        <w:t xml:space="preserve"> </w:t>
      </w:r>
      <w:r w:rsidR="00915264" w:rsidRPr="009A1ACA">
        <w:rPr>
          <w:rFonts w:ascii="Open Sans" w:hAnsi="Open Sans" w:cs="Open Sans"/>
          <w:b/>
          <w:sz w:val="24"/>
          <w:szCs w:val="24"/>
        </w:rPr>
        <w:t xml:space="preserve">Nº </w:t>
      </w:r>
      <w:r w:rsidR="00A70375">
        <w:rPr>
          <w:rFonts w:ascii="Open Sans" w:hAnsi="Open Sans" w:cs="Open Sans"/>
          <w:b/>
          <w:sz w:val="24"/>
          <w:szCs w:val="24"/>
        </w:rPr>
        <w:t>11</w:t>
      </w:r>
      <w:r w:rsidR="006568A7" w:rsidRPr="006568A7">
        <w:rPr>
          <w:rFonts w:ascii="Open Sans" w:hAnsi="Open Sans" w:cs="Open Sans"/>
          <w:b/>
          <w:sz w:val="24"/>
          <w:szCs w:val="24"/>
        </w:rPr>
        <w:t xml:space="preserve">/2025-LE, DE </w:t>
      </w:r>
      <w:r w:rsidR="00A70375">
        <w:rPr>
          <w:rFonts w:ascii="Open Sans" w:hAnsi="Open Sans" w:cs="Open Sans"/>
          <w:b/>
          <w:sz w:val="24"/>
          <w:szCs w:val="24"/>
        </w:rPr>
        <w:t>2</w:t>
      </w:r>
      <w:r w:rsidR="006568A7" w:rsidRPr="006568A7">
        <w:rPr>
          <w:rFonts w:ascii="Open Sans" w:hAnsi="Open Sans" w:cs="Open Sans"/>
          <w:b/>
          <w:sz w:val="24"/>
          <w:szCs w:val="24"/>
        </w:rPr>
        <w:t xml:space="preserve"> DE </w:t>
      </w:r>
      <w:r w:rsidR="00A70375">
        <w:rPr>
          <w:rFonts w:ascii="Open Sans" w:hAnsi="Open Sans" w:cs="Open Sans"/>
          <w:b/>
          <w:sz w:val="24"/>
          <w:szCs w:val="24"/>
        </w:rPr>
        <w:t>DEZ</w:t>
      </w:r>
      <w:r w:rsidR="006568A7" w:rsidRPr="006568A7">
        <w:rPr>
          <w:rFonts w:ascii="Open Sans" w:hAnsi="Open Sans" w:cs="Open Sans"/>
          <w:b/>
          <w:sz w:val="24"/>
          <w:szCs w:val="24"/>
        </w:rPr>
        <w:t>EMBRO DE 2025</w:t>
      </w:r>
      <w:r w:rsidR="00C7331B" w:rsidRPr="00C7331B">
        <w:rPr>
          <w:rFonts w:ascii="Open Sans" w:hAnsi="Open Sans" w:cs="Open Sans"/>
          <w:b/>
          <w:sz w:val="24"/>
          <w:szCs w:val="24"/>
        </w:rPr>
        <w:t>.</w:t>
      </w:r>
    </w:p>
    <w:p w14:paraId="7B61D298" w14:textId="77777777" w:rsidR="00915264" w:rsidRDefault="00915264" w:rsidP="00915264">
      <w:pPr>
        <w:spacing w:before="120" w:after="120" w:line="320" w:lineRule="atLeast"/>
        <w:rPr>
          <w:rFonts w:ascii="Open Sans" w:hAnsi="Open Sans" w:cs="Open Sans"/>
          <w:b/>
          <w:sz w:val="24"/>
          <w:szCs w:val="24"/>
        </w:rPr>
      </w:pPr>
    </w:p>
    <w:p w14:paraId="5BC07013" w14:textId="7657E068" w:rsidR="00915264" w:rsidRPr="009A1ACA" w:rsidRDefault="00915264" w:rsidP="00C7331B">
      <w:pPr>
        <w:spacing w:before="120" w:after="120" w:line="320" w:lineRule="atLeast"/>
        <w:jc w:val="both"/>
        <w:rPr>
          <w:rFonts w:ascii="Open Sans" w:hAnsi="Open Sans" w:cs="Open Sans"/>
          <w:b/>
          <w:sz w:val="24"/>
          <w:szCs w:val="24"/>
        </w:rPr>
      </w:pPr>
      <w:r w:rsidRPr="009A1ACA">
        <w:rPr>
          <w:rFonts w:ascii="Open Sans" w:hAnsi="Open Sans" w:cs="Open Sans"/>
          <w:b/>
          <w:sz w:val="24"/>
          <w:szCs w:val="24"/>
        </w:rPr>
        <w:t>AUTORIA</w:t>
      </w:r>
      <w:r w:rsidR="00C7331B" w:rsidRPr="009A1ACA">
        <w:rPr>
          <w:rFonts w:ascii="Open Sans" w:hAnsi="Open Sans" w:cs="Open Sans"/>
          <w:b/>
          <w:sz w:val="24"/>
          <w:szCs w:val="24"/>
        </w:rPr>
        <w:t xml:space="preserve">: </w:t>
      </w:r>
      <w:r w:rsidR="006568A7" w:rsidRPr="006568A7">
        <w:rPr>
          <w:rFonts w:ascii="Open Sans" w:hAnsi="Open Sans" w:cs="Open Sans"/>
          <w:b/>
          <w:sz w:val="24"/>
          <w:szCs w:val="24"/>
        </w:rPr>
        <w:t>PODER EXECUTIVO MUNICIPAL</w:t>
      </w:r>
      <w:r w:rsidR="00C7331B" w:rsidRPr="00C7331B">
        <w:rPr>
          <w:rFonts w:ascii="Open Sans" w:hAnsi="Open Sans" w:cs="Open Sans"/>
          <w:b/>
          <w:sz w:val="24"/>
          <w:szCs w:val="24"/>
        </w:rPr>
        <w:t>.</w:t>
      </w:r>
    </w:p>
    <w:p w14:paraId="7C3E7B7F" w14:textId="77777777" w:rsidR="00915264" w:rsidRDefault="00915264" w:rsidP="00915264">
      <w:pPr>
        <w:spacing w:before="120" w:after="120" w:line="320" w:lineRule="atLeast"/>
        <w:ind w:left="2835"/>
        <w:jc w:val="both"/>
        <w:rPr>
          <w:rFonts w:ascii="Open Sans" w:hAnsi="Open Sans" w:cs="Open Sans"/>
          <w:b/>
          <w:bCs/>
          <w:sz w:val="24"/>
          <w:szCs w:val="24"/>
        </w:rPr>
      </w:pPr>
    </w:p>
    <w:p w14:paraId="66E266DC" w14:textId="6FB62658" w:rsidR="006A73AD" w:rsidRPr="00531ED5" w:rsidRDefault="00A70375" w:rsidP="006A73AD">
      <w:pPr>
        <w:shd w:val="clear" w:color="auto" w:fill="F2F2F2"/>
        <w:spacing w:before="120" w:after="120" w:line="380" w:lineRule="exact"/>
        <w:ind w:left="3402"/>
        <w:jc w:val="both"/>
        <w:rPr>
          <w:rFonts w:ascii="Open Sans" w:hAnsi="Open Sans" w:cs="Open Sans"/>
          <w:b/>
          <w:sz w:val="24"/>
          <w:szCs w:val="24"/>
        </w:rPr>
      </w:pPr>
      <w:r w:rsidRPr="00A70375">
        <w:rPr>
          <w:rFonts w:ascii="Open Sans" w:hAnsi="Open Sans" w:cs="Open Sans"/>
          <w:b/>
          <w:sz w:val="24"/>
          <w:szCs w:val="24"/>
        </w:rPr>
        <w:t>Altera dispositivos da Lei Complementar nº 152, de 7 de maio de 2025, que autoriza o Poder Executivo Municipal a regularizar desmembramentos consolidados no Município de Campo Novo do Parecis, e dá outras providências.</w:t>
      </w:r>
    </w:p>
    <w:p w14:paraId="54864D57" w14:textId="77777777" w:rsidR="004E46E0" w:rsidRPr="003235DA" w:rsidRDefault="004E46E0" w:rsidP="004E46E0">
      <w:pPr>
        <w:spacing w:line="360" w:lineRule="auto"/>
        <w:jc w:val="both"/>
        <w:rPr>
          <w:rFonts w:ascii="Arial" w:hAnsi="Arial" w:cs="Arial"/>
          <w:b/>
          <w:color w:val="000000"/>
          <w:sz w:val="24"/>
          <w:szCs w:val="24"/>
        </w:rPr>
      </w:pPr>
    </w:p>
    <w:p w14:paraId="6A8CDD5F" w14:textId="7033E103" w:rsidR="00383933" w:rsidRDefault="00A70375" w:rsidP="00A70375">
      <w:pPr>
        <w:spacing w:line="360" w:lineRule="auto"/>
        <w:jc w:val="center"/>
        <w:rPr>
          <w:rFonts w:ascii="Arial" w:eastAsia="Batang" w:hAnsi="Arial" w:cs="Arial"/>
          <w:sz w:val="24"/>
          <w:szCs w:val="24"/>
        </w:rPr>
      </w:pPr>
      <w:r>
        <w:rPr>
          <w:rFonts w:ascii="Arial" w:hAnsi="Arial" w:cs="Arial"/>
          <w:b/>
          <w:color w:val="000000"/>
          <w:sz w:val="24"/>
          <w:szCs w:val="24"/>
        </w:rPr>
        <w:t>PARECER</w:t>
      </w:r>
    </w:p>
    <w:p w14:paraId="35CE592D" w14:textId="77777777" w:rsidR="00F31749" w:rsidRPr="00E76724" w:rsidRDefault="00F31749" w:rsidP="00383933">
      <w:pPr>
        <w:spacing w:line="360" w:lineRule="auto"/>
        <w:jc w:val="both"/>
        <w:rPr>
          <w:rFonts w:ascii="Arial" w:eastAsia="Batang" w:hAnsi="Arial" w:cs="Arial"/>
          <w:sz w:val="24"/>
          <w:szCs w:val="24"/>
        </w:rPr>
      </w:pPr>
    </w:p>
    <w:p w14:paraId="39156B57" w14:textId="0055A75A" w:rsidR="00383933" w:rsidRPr="00E76724" w:rsidRDefault="00383933" w:rsidP="00383933">
      <w:pPr>
        <w:spacing w:line="360" w:lineRule="auto"/>
        <w:jc w:val="both"/>
        <w:rPr>
          <w:rFonts w:ascii="Arial" w:eastAsia="Batang" w:hAnsi="Arial" w:cs="Arial"/>
          <w:b/>
          <w:bCs/>
          <w:sz w:val="24"/>
          <w:szCs w:val="24"/>
        </w:rPr>
      </w:pPr>
      <w:r w:rsidRPr="00E76724">
        <w:rPr>
          <w:rFonts w:ascii="Arial" w:eastAsia="Batang" w:hAnsi="Arial" w:cs="Arial"/>
          <w:b/>
          <w:bCs/>
          <w:sz w:val="24"/>
          <w:szCs w:val="24"/>
        </w:rPr>
        <w:t xml:space="preserve">I </w:t>
      </w:r>
      <w:r w:rsidR="00A70375">
        <w:rPr>
          <w:rFonts w:ascii="Arial" w:eastAsia="Batang" w:hAnsi="Arial" w:cs="Arial"/>
          <w:b/>
          <w:bCs/>
          <w:sz w:val="24"/>
          <w:szCs w:val="24"/>
        </w:rPr>
        <w:t>–</w:t>
      </w:r>
      <w:r w:rsidRPr="00E76724">
        <w:rPr>
          <w:rFonts w:ascii="Arial" w:eastAsia="Batang" w:hAnsi="Arial" w:cs="Arial"/>
          <w:b/>
          <w:bCs/>
          <w:sz w:val="24"/>
          <w:szCs w:val="24"/>
        </w:rPr>
        <w:t xml:space="preserve"> </w:t>
      </w:r>
      <w:r w:rsidR="00A70375">
        <w:rPr>
          <w:rFonts w:ascii="Arial" w:eastAsia="Batang" w:hAnsi="Arial" w:cs="Arial"/>
          <w:b/>
          <w:bCs/>
          <w:sz w:val="24"/>
          <w:szCs w:val="24"/>
        </w:rPr>
        <w:t xml:space="preserve">BREVE </w:t>
      </w:r>
      <w:r w:rsidRPr="00E76724">
        <w:rPr>
          <w:rFonts w:ascii="Arial" w:eastAsia="Batang" w:hAnsi="Arial" w:cs="Arial"/>
          <w:b/>
          <w:bCs/>
          <w:sz w:val="24"/>
          <w:szCs w:val="24"/>
        </w:rPr>
        <w:t>RELATÓRIO</w:t>
      </w:r>
    </w:p>
    <w:p w14:paraId="6D5EAC23" w14:textId="77777777" w:rsidR="00A70375" w:rsidRPr="00A70375" w:rsidRDefault="00652A0F" w:rsidP="00A70375">
      <w:pPr>
        <w:spacing w:line="360" w:lineRule="auto"/>
        <w:ind w:firstLine="2127"/>
        <w:jc w:val="both"/>
        <w:rPr>
          <w:rFonts w:ascii="Arial" w:eastAsia="Batang" w:hAnsi="Arial" w:cs="Arial"/>
          <w:sz w:val="24"/>
          <w:szCs w:val="24"/>
        </w:rPr>
      </w:pPr>
      <w:r>
        <w:rPr>
          <w:rFonts w:ascii="Arial" w:eastAsia="Batang" w:hAnsi="Arial" w:cs="Arial"/>
          <w:sz w:val="24"/>
          <w:szCs w:val="24"/>
        </w:rPr>
        <w:t>Trata-se de análise do</w:t>
      </w:r>
      <w:r w:rsidRPr="00652A0F">
        <w:rPr>
          <w:rFonts w:ascii="Arial" w:eastAsia="Batang" w:hAnsi="Arial" w:cs="Arial"/>
          <w:sz w:val="24"/>
          <w:szCs w:val="24"/>
        </w:rPr>
        <w:t xml:space="preserve"> </w:t>
      </w:r>
      <w:r w:rsidR="00A70375" w:rsidRPr="00A70375">
        <w:rPr>
          <w:rFonts w:ascii="Arial" w:eastAsia="Batang" w:hAnsi="Arial" w:cs="Arial"/>
          <w:sz w:val="24"/>
          <w:szCs w:val="24"/>
        </w:rPr>
        <w:t>Projeto de Lei Complementar nº 11/2025 tem por objeto aperfeiçoar o regime jurídico instituído pela Lei Complementar nº 152/2025, que trata da regularização de desmembramentos consolidados no Município de Campo Novo do Parecis.</w:t>
      </w:r>
    </w:p>
    <w:p w14:paraId="3C0855B5" w14:textId="48D7DF58" w:rsidR="00A70375" w:rsidRPr="00A70375" w:rsidRDefault="00A70375" w:rsidP="00A70375">
      <w:pPr>
        <w:spacing w:line="360" w:lineRule="auto"/>
        <w:ind w:firstLine="2127"/>
        <w:jc w:val="both"/>
        <w:rPr>
          <w:rFonts w:ascii="Arial" w:eastAsia="Batang" w:hAnsi="Arial" w:cs="Arial"/>
          <w:sz w:val="24"/>
          <w:szCs w:val="24"/>
        </w:rPr>
      </w:pPr>
      <w:r w:rsidRPr="00A70375">
        <w:rPr>
          <w:rFonts w:ascii="Arial" w:eastAsia="Batang" w:hAnsi="Arial" w:cs="Arial"/>
          <w:sz w:val="24"/>
          <w:szCs w:val="24"/>
        </w:rPr>
        <w:t>Na Mensagem Legislativa nº 99, o Chefe do Poder Executivo expõe, de forma detalhada, que a experiência prática de aplicação da Lei Complementar nº 152/2025 revelou entraves administrativos relevantes, especialmente quanto à exigência excessivamente restritiva de documentos formais para comprovação da ocorrência de desmembramentos consolidados até 31 de dezembro de 2023</w:t>
      </w:r>
      <w:r>
        <w:rPr>
          <w:rFonts w:ascii="Arial" w:eastAsia="Batang" w:hAnsi="Arial" w:cs="Arial"/>
          <w:sz w:val="24"/>
          <w:szCs w:val="24"/>
        </w:rPr>
        <w:t>.</w:t>
      </w:r>
    </w:p>
    <w:p w14:paraId="53385D44" w14:textId="18501468" w:rsidR="00652A0F" w:rsidRDefault="00A70375" w:rsidP="00A70375">
      <w:pPr>
        <w:spacing w:line="360" w:lineRule="auto"/>
        <w:ind w:firstLine="2127"/>
        <w:jc w:val="both"/>
        <w:rPr>
          <w:rFonts w:ascii="Arial" w:eastAsia="Batang" w:hAnsi="Arial" w:cs="Arial"/>
          <w:sz w:val="24"/>
          <w:szCs w:val="24"/>
        </w:rPr>
      </w:pPr>
      <w:r w:rsidRPr="00A70375">
        <w:rPr>
          <w:rFonts w:ascii="Arial" w:eastAsia="Batang" w:hAnsi="Arial" w:cs="Arial"/>
          <w:sz w:val="24"/>
          <w:szCs w:val="24"/>
        </w:rPr>
        <w:t>Segundo a justificativa, muitos imóveis situados em áreas de ocupação antiga ou oriundos de negociações informais não dispõem de contratos formalizados, laudos georreferenciados ou comprovantes de IPTU, apesar de apresentarem situação fática consolidada, verificável por outros meios idôneos. Essa rigidez documental tem ocasionado indeferimentos administrativos injustificados, contrariando os princípios da razoabilidade, proporcionalidade e eficiência administrativa.</w:t>
      </w:r>
    </w:p>
    <w:p w14:paraId="56F37A68" w14:textId="77777777" w:rsidR="00A70375" w:rsidRPr="00A70375" w:rsidRDefault="00A70375" w:rsidP="00A70375">
      <w:pPr>
        <w:spacing w:line="360" w:lineRule="auto"/>
        <w:ind w:firstLine="2127"/>
        <w:jc w:val="both"/>
        <w:rPr>
          <w:rFonts w:ascii="Arial" w:eastAsia="Batang" w:hAnsi="Arial" w:cs="Arial"/>
          <w:sz w:val="24"/>
          <w:szCs w:val="24"/>
        </w:rPr>
      </w:pPr>
      <w:r w:rsidRPr="00A70375">
        <w:rPr>
          <w:rFonts w:ascii="Arial" w:eastAsia="Batang" w:hAnsi="Arial" w:cs="Arial"/>
          <w:sz w:val="24"/>
          <w:szCs w:val="24"/>
        </w:rPr>
        <w:t>O projeto, portanto, propõe:</w:t>
      </w:r>
    </w:p>
    <w:p w14:paraId="3A9FB1E1" w14:textId="77777777" w:rsidR="00A70375" w:rsidRPr="00A70375" w:rsidRDefault="00A70375" w:rsidP="00A70375">
      <w:pPr>
        <w:pStyle w:val="PargrafodaLista"/>
        <w:numPr>
          <w:ilvl w:val="0"/>
          <w:numId w:val="1"/>
        </w:numPr>
        <w:spacing w:line="360" w:lineRule="auto"/>
        <w:ind w:left="2268" w:firstLine="0"/>
        <w:jc w:val="both"/>
        <w:rPr>
          <w:rFonts w:ascii="Arial" w:eastAsia="Batang" w:hAnsi="Arial" w:cs="Arial"/>
        </w:rPr>
      </w:pPr>
      <w:r w:rsidRPr="00A70375">
        <w:rPr>
          <w:rFonts w:ascii="Arial" w:eastAsia="Batang" w:hAnsi="Arial" w:cs="Arial"/>
        </w:rPr>
        <w:lastRenderedPageBreak/>
        <w:t>ampliação do rol de documentos aptos à comprovação da consolidação do desmembramento, incluindo contas de serviços públicos, notas fiscais de materiais de construção e outros documentos idôneos emitidos até 31 de dezembro de 2023;</w:t>
      </w:r>
    </w:p>
    <w:p w14:paraId="620155A8" w14:textId="77777777" w:rsidR="00A70375" w:rsidRPr="00A70375" w:rsidRDefault="00A70375" w:rsidP="00A70375">
      <w:pPr>
        <w:pStyle w:val="PargrafodaLista"/>
        <w:numPr>
          <w:ilvl w:val="0"/>
          <w:numId w:val="1"/>
        </w:numPr>
        <w:spacing w:line="360" w:lineRule="auto"/>
        <w:ind w:left="2268" w:firstLine="0"/>
        <w:jc w:val="both"/>
        <w:rPr>
          <w:rFonts w:ascii="Arial" w:eastAsia="Batang" w:hAnsi="Arial" w:cs="Arial"/>
        </w:rPr>
      </w:pPr>
      <w:r w:rsidRPr="00A70375">
        <w:rPr>
          <w:rFonts w:ascii="Arial" w:eastAsia="Batang" w:hAnsi="Arial" w:cs="Arial"/>
        </w:rPr>
        <w:t>previsão expressa da possibilidade de regularização de lotes com mais de uma edificação ou ocupação autônoma, ainda que pertencentes a um único proprietário, quando configuradas áreas passíveis de individualização;</w:t>
      </w:r>
    </w:p>
    <w:p w14:paraId="7BC26D3A" w14:textId="77777777" w:rsidR="00A70375" w:rsidRPr="00A70375" w:rsidRDefault="00A70375" w:rsidP="00A70375">
      <w:pPr>
        <w:pStyle w:val="PargrafodaLista"/>
        <w:numPr>
          <w:ilvl w:val="0"/>
          <w:numId w:val="1"/>
        </w:numPr>
        <w:spacing w:line="360" w:lineRule="auto"/>
        <w:ind w:left="2268" w:firstLine="0"/>
        <w:jc w:val="both"/>
        <w:rPr>
          <w:rFonts w:ascii="Arial" w:eastAsia="Batang" w:hAnsi="Arial" w:cs="Arial"/>
        </w:rPr>
      </w:pPr>
      <w:r w:rsidRPr="00A70375">
        <w:rPr>
          <w:rFonts w:ascii="Arial" w:eastAsia="Batang" w:hAnsi="Arial" w:cs="Arial"/>
        </w:rPr>
        <w:t>padronização procedimental, com a obrigatoriedade de constar nos projetos a expressão “DESMEMBRAMENTO CONFORME A LEI MUNICIPAL Nº 152/2025”;</w:t>
      </w:r>
    </w:p>
    <w:p w14:paraId="301D96AF" w14:textId="77777777" w:rsidR="00A70375" w:rsidRPr="00A70375" w:rsidRDefault="00A70375" w:rsidP="00A70375">
      <w:pPr>
        <w:pStyle w:val="PargrafodaLista"/>
        <w:numPr>
          <w:ilvl w:val="0"/>
          <w:numId w:val="1"/>
        </w:numPr>
        <w:spacing w:line="360" w:lineRule="auto"/>
        <w:ind w:left="2268" w:firstLine="0"/>
        <w:jc w:val="both"/>
        <w:rPr>
          <w:rFonts w:ascii="Arial" w:eastAsia="Batang" w:hAnsi="Arial" w:cs="Arial"/>
        </w:rPr>
      </w:pPr>
      <w:r w:rsidRPr="00A70375">
        <w:rPr>
          <w:rFonts w:ascii="Arial" w:eastAsia="Batang" w:hAnsi="Arial" w:cs="Arial"/>
        </w:rPr>
        <w:t>revogação do inciso IV do art. 3º da Lei Complementar nº 152/2025, que exigia requisitos de acessibilidade incompatíveis com o objeto da regularização do solo.</w:t>
      </w:r>
    </w:p>
    <w:p w14:paraId="4362EF82" w14:textId="4A36CDED" w:rsidR="00A70375" w:rsidRPr="00652A0F" w:rsidRDefault="00A70375" w:rsidP="00A70375">
      <w:pPr>
        <w:spacing w:line="360" w:lineRule="auto"/>
        <w:ind w:firstLine="2127"/>
        <w:jc w:val="both"/>
        <w:rPr>
          <w:rFonts w:ascii="Arial" w:eastAsia="Batang" w:hAnsi="Arial" w:cs="Arial"/>
          <w:sz w:val="24"/>
          <w:szCs w:val="24"/>
        </w:rPr>
      </w:pPr>
      <w:r w:rsidRPr="00A70375">
        <w:rPr>
          <w:rFonts w:ascii="Arial" w:eastAsia="Batang" w:hAnsi="Arial" w:cs="Arial"/>
          <w:sz w:val="24"/>
          <w:szCs w:val="24"/>
        </w:rPr>
        <w:t>Trata-se, assim, de proposição de natureza corretiva e integrativa, voltada a conferir efetividade prática à política municipal de regularização fundiária urbana.</w:t>
      </w:r>
    </w:p>
    <w:p w14:paraId="071F9134" w14:textId="2F9D58FA" w:rsidR="006568A7" w:rsidRPr="006568A7" w:rsidRDefault="00652A0F" w:rsidP="00652A0F">
      <w:pPr>
        <w:spacing w:line="360" w:lineRule="auto"/>
        <w:ind w:firstLine="2127"/>
        <w:jc w:val="both"/>
        <w:rPr>
          <w:rFonts w:ascii="Arial" w:eastAsia="Batang" w:hAnsi="Arial" w:cs="Arial"/>
          <w:sz w:val="24"/>
          <w:szCs w:val="24"/>
        </w:rPr>
      </w:pPr>
      <w:r w:rsidRPr="00652A0F">
        <w:rPr>
          <w:rFonts w:ascii="Arial" w:eastAsia="Batang" w:hAnsi="Arial" w:cs="Arial"/>
          <w:sz w:val="24"/>
          <w:szCs w:val="24"/>
        </w:rPr>
        <w:t>É o relatório necessário.</w:t>
      </w:r>
    </w:p>
    <w:p w14:paraId="21E9E4F4" w14:textId="77777777" w:rsidR="00383933" w:rsidRDefault="00383933" w:rsidP="00383933">
      <w:pPr>
        <w:spacing w:line="360" w:lineRule="auto"/>
        <w:jc w:val="both"/>
        <w:rPr>
          <w:rFonts w:ascii="Arial" w:eastAsia="Batang" w:hAnsi="Arial" w:cs="Arial"/>
          <w:sz w:val="24"/>
          <w:szCs w:val="24"/>
        </w:rPr>
      </w:pPr>
    </w:p>
    <w:p w14:paraId="0B3B2F9F" w14:textId="77777777" w:rsidR="00A70375" w:rsidRPr="00A70375" w:rsidRDefault="00383933" w:rsidP="00A70375">
      <w:pPr>
        <w:spacing w:line="360" w:lineRule="auto"/>
        <w:jc w:val="both"/>
        <w:rPr>
          <w:rFonts w:ascii="Arial" w:eastAsia="Batang" w:hAnsi="Arial" w:cs="Arial"/>
          <w:b/>
          <w:bCs/>
          <w:sz w:val="24"/>
          <w:szCs w:val="24"/>
        </w:rPr>
      </w:pPr>
      <w:r w:rsidRPr="00E76724">
        <w:rPr>
          <w:rFonts w:ascii="Arial" w:eastAsia="Batang" w:hAnsi="Arial" w:cs="Arial"/>
          <w:b/>
          <w:bCs/>
          <w:sz w:val="24"/>
          <w:szCs w:val="24"/>
        </w:rPr>
        <w:t>I</w:t>
      </w:r>
      <w:r>
        <w:rPr>
          <w:rFonts w:ascii="Arial" w:eastAsia="Batang" w:hAnsi="Arial" w:cs="Arial"/>
          <w:b/>
          <w:bCs/>
          <w:sz w:val="24"/>
          <w:szCs w:val="24"/>
        </w:rPr>
        <w:t>I</w:t>
      </w:r>
      <w:r w:rsidRPr="00E76724">
        <w:rPr>
          <w:rFonts w:ascii="Arial" w:eastAsia="Batang" w:hAnsi="Arial" w:cs="Arial"/>
          <w:b/>
          <w:bCs/>
          <w:sz w:val="24"/>
          <w:szCs w:val="24"/>
        </w:rPr>
        <w:t xml:space="preserve"> – </w:t>
      </w:r>
      <w:r w:rsidR="00A70375" w:rsidRPr="00A70375">
        <w:rPr>
          <w:rFonts w:ascii="Arial" w:eastAsia="Batang" w:hAnsi="Arial" w:cs="Arial"/>
          <w:b/>
          <w:bCs/>
          <w:sz w:val="24"/>
          <w:szCs w:val="24"/>
        </w:rPr>
        <w:t>ANÁLISE JURÍDICA</w:t>
      </w:r>
    </w:p>
    <w:p w14:paraId="1924EC9B" w14:textId="789E9823" w:rsidR="00383933" w:rsidRPr="00E76724" w:rsidRDefault="00A70375" w:rsidP="00A70375">
      <w:pPr>
        <w:spacing w:line="360" w:lineRule="auto"/>
        <w:jc w:val="both"/>
        <w:rPr>
          <w:rFonts w:ascii="Arial" w:hAnsi="Arial" w:cs="Arial"/>
          <w:b/>
          <w:bCs/>
          <w:sz w:val="24"/>
          <w:szCs w:val="24"/>
        </w:rPr>
      </w:pPr>
      <w:r w:rsidRPr="00A70375">
        <w:rPr>
          <w:rFonts w:ascii="Arial" w:eastAsia="Batang" w:hAnsi="Arial" w:cs="Arial"/>
          <w:b/>
          <w:bCs/>
          <w:sz w:val="24"/>
          <w:szCs w:val="24"/>
        </w:rPr>
        <w:t>2.1 – Da matéria em geral</w:t>
      </w:r>
    </w:p>
    <w:p w14:paraId="4F2F665D" w14:textId="77777777" w:rsidR="00A70375" w:rsidRPr="00A70375" w:rsidRDefault="00A70375" w:rsidP="00A70375">
      <w:pPr>
        <w:pStyle w:val="Corpodetexto2"/>
        <w:spacing w:line="360" w:lineRule="auto"/>
        <w:ind w:firstLine="1985"/>
        <w:jc w:val="both"/>
        <w:rPr>
          <w:rFonts w:ascii="Arial" w:eastAsia="Times New Roman" w:hAnsi="Arial" w:cs="Arial"/>
          <w:sz w:val="24"/>
          <w:szCs w:val="24"/>
          <w:lang w:eastAsia="pt-BR"/>
        </w:rPr>
      </w:pPr>
      <w:r w:rsidRPr="00A70375">
        <w:rPr>
          <w:rFonts w:ascii="Arial" w:eastAsia="Times New Roman" w:hAnsi="Arial" w:cs="Arial"/>
          <w:sz w:val="24"/>
          <w:szCs w:val="24"/>
          <w:lang w:eastAsia="pt-BR"/>
        </w:rPr>
        <w:t>A matéria versada no Projeto de Lei Complementar nº 11/2025 insere-se no campo do Direito Urbanístico e do Direito Administrativo Municipal, com reflexos diretos na política de ordenamento territorial, regularização fundiária e função social da propriedade.</w:t>
      </w:r>
    </w:p>
    <w:p w14:paraId="30499D2C" w14:textId="77777777" w:rsidR="00A70375" w:rsidRPr="00A70375" w:rsidRDefault="00A70375" w:rsidP="00A70375">
      <w:pPr>
        <w:pStyle w:val="Corpodetexto2"/>
        <w:spacing w:line="360" w:lineRule="auto"/>
        <w:ind w:firstLine="1985"/>
        <w:jc w:val="both"/>
        <w:rPr>
          <w:rFonts w:ascii="Arial" w:eastAsia="Times New Roman" w:hAnsi="Arial" w:cs="Arial"/>
          <w:sz w:val="24"/>
          <w:szCs w:val="24"/>
          <w:lang w:eastAsia="pt-BR"/>
        </w:rPr>
      </w:pPr>
      <w:r w:rsidRPr="00A70375">
        <w:rPr>
          <w:rFonts w:ascii="Arial" w:eastAsia="Times New Roman" w:hAnsi="Arial" w:cs="Arial"/>
          <w:sz w:val="24"/>
          <w:szCs w:val="24"/>
          <w:lang w:eastAsia="pt-BR"/>
        </w:rPr>
        <w:t>O modelo adotado guarda consonância com legislações de outros municípios brasileiros, que também flexibilizaram meios de prova para regularização de parcelamentos consolidados, a exemplo de:</w:t>
      </w:r>
    </w:p>
    <w:p w14:paraId="37423EA6" w14:textId="77777777" w:rsidR="00A70375" w:rsidRPr="00A70375" w:rsidRDefault="00A70375" w:rsidP="00A70375">
      <w:pPr>
        <w:pStyle w:val="Corpodetexto2"/>
        <w:numPr>
          <w:ilvl w:val="0"/>
          <w:numId w:val="2"/>
        </w:numPr>
        <w:spacing w:line="360" w:lineRule="auto"/>
        <w:ind w:left="1985" w:firstLine="0"/>
        <w:jc w:val="both"/>
        <w:rPr>
          <w:rFonts w:ascii="Arial" w:eastAsia="Times New Roman" w:hAnsi="Arial" w:cs="Arial"/>
          <w:sz w:val="24"/>
          <w:szCs w:val="24"/>
          <w:lang w:eastAsia="pt-BR"/>
        </w:rPr>
      </w:pPr>
      <w:r w:rsidRPr="00A70375">
        <w:rPr>
          <w:rFonts w:ascii="Arial" w:eastAsia="Times New Roman" w:hAnsi="Arial" w:cs="Arial"/>
          <w:sz w:val="24"/>
          <w:szCs w:val="24"/>
          <w:lang w:eastAsia="pt-BR"/>
        </w:rPr>
        <w:lastRenderedPageBreak/>
        <w:t xml:space="preserve">Lei Complementar nº 611/2018 – Florianópolis/SC (Regularização Fundiária Urbana – </w:t>
      </w:r>
      <w:proofErr w:type="spellStart"/>
      <w:r w:rsidRPr="00A70375">
        <w:rPr>
          <w:rFonts w:ascii="Arial" w:eastAsia="Times New Roman" w:hAnsi="Arial" w:cs="Arial"/>
          <w:sz w:val="24"/>
          <w:szCs w:val="24"/>
          <w:lang w:eastAsia="pt-BR"/>
        </w:rPr>
        <w:t>Reurb</w:t>
      </w:r>
      <w:proofErr w:type="spellEnd"/>
      <w:r w:rsidRPr="00A70375">
        <w:rPr>
          <w:rFonts w:ascii="Arial" w:eastAsia="Times New Roman" w:hAnsi="Arial" w:cs="Arial"/>
          <w:sz w:val="24"/>
          <w:szCs w:val="24"/>
          <w:lang w:eastAsia="pt-BR"/>
        </w:rPr>
        <w:t>);</w:t>
      </w:r>
    </w:p>
    <w:p w14:paraId="1B5FDD51" w14:textId="77777777" w:rsidR="00A70375" w:rsidRPr="00A70375" w:rsidRDefault="00A70375" w:rsidP="00A70375">
      <w:pPr>
        <w:pStyle w:val="Corpodetexto2"/>
        <w:numPr>
          <w:ilvl w:val="0"/>
          <w:numId w:val="2"/>
        </w:numPr>
        <w:spacing w:line="360" w:lineRule="auto"/>
        <w:ind w:left="1985" w:firstLine="0"/>
        <w:jc w:val="both"/>
        <w:rPr>
          <w:rFonts w:ascii="Arial" w:eastAsia="Times New Roman" w:hAnsi="Arial" w:cs="Arial"/>
          <w:sz w:val="24"/>
          <w:szCs w:val="24"/>
          <w:lang w:eastAsia="pt-BR"/>
        </w:rPr>
      </w:pPr>
      <w:r w:rsidRPr="00A70375">
        <w:rPr>
          <w:rFonts w:ascii="Arial" w:eastAsia="Times New Roman" w:hAnsi="Arial" w:cs="Arial"/>
          <w:sz w:val="24"/>
          <w:szCs w:val="24"/>
          <w:lang w:eastAsia="pt-BR"/>
        </w:rPr>
        <w:t xml:space="preserve">Lei nº 13.465/2017 (Lei Federal da </w:t>
      </w:r>
      <w:proofErr w:type="spellStart"/>
      <w:r w:rsidRPr="00A70375">
        <w:rPr>
          <w:rFonts w:ascii="Arial" w:eastAsia="Times New Roman" w:hAnsi="Arial" w:cs="Arial"/>
          <w:sz w:val="24"/>
          <w:szCs w:val="24"/>
          <w:lang w:eastAsia="pt-BR"/>
        </w:rPr>
        <w:t>Reurb</w:t>
      </w:r>
      <w:proofErr w:type="spellEnd"/>
      <w:r w:rsidRPr="00A70375">
        <w:rPr>
          <w:rFonts w:ascii="Arial" w:eastAsia="Times New Roman" w:hAnsi="Arial" w:cs="Arial"/>
          <w:sz w:val="24"/>
          <w:szCs w:val="24"/>
          <w:lang w:eastAsia="pt-BR"/>
        </w:rPr>
        <w:t>), que admite múltiplos meios de comprovação da posse e da ocupação consolidada;</w:t>
      </w:r>
    </w:p>
    <w:p w14:paraId="4EA261D5" w14:textId="77777777" w:rsidR="00A70375" w:rsidRPr="00A70375" w:rsidRDefault="00A70375" w:rsidP="00A70375">
      <w:pPr>
        <w:pStyle w:val="Corpodetexto2"/>
        <w:numPr>
          <w:ilvl w:val="0"/>
          <w:numId w:val="2"/>
        </w:numPr>
        <w:spacing w:line="360" w:lineRule="auto"/>
        <w:ind w:left="1985" w:firstLine="0"/>
        <w:jc w:val="both"/>
        <w:rPr>
          <w:rFonts w:ascii="Arial" w:eastAsia="Times New Roman" w:hAnsi="Arial" w:cs="Arial"/>
          <w:sz w:val="24"/>
          <w:szCs w:val="24"/>
          <w:lang w:eastAsia="pt-BR"/>
        </w:rPr>
      </w:pPr>
      <w:r w:rsidRPr="00A70375">
        <w:rPr>
          <w:rFonts w:ascii="Arial" w:eastAsia="Times New Roman" w:hAnsi="Arial" w:cs="Arial"/>
          <w:sz w:val="24"/>
          <w:szCs w:val="24"/>
          <w:lang w:eastAsia="pt-BR"/>
        </w:rPr>
        <w:t>Normas municipais de Curitiba/PR e Belo Horizonte/MG que reconhecem documentos indiretos como prova da consolidação fática.</w:t>
      </w:r>
    </w:p>
    <w:p w14:paraId="5DA5F94B" w14:textId="4117D187" w:rsidR="00F17175" w:rsidRDefault="00A70375" w:rsidP="00A70375">
      <w:pPr>
        <w:pStyle w:val="Corpodetexto2"/>
        <w:spacing w:line="360" w:lineRule="auto"/>
        <w:ind w:firstLine="1985"/>
        <w:jc w:val="both"/>
        <w:rPr>
          <w:rFonts w:ascii="Arial" w:eastAsia="Times New Roman" w:hAnsi="Arial" w:cs="Arial"/>
          <w:sz w:val="24"/>
          <w:szCs w:val="24"/>
          <w:lang w:eastAsia="pt-BR"/>
        </w:rPr>
      </w:pPr>
      <w:r w:rsidRPr="00A70375">
        <w:rPr>
          <w:rFonts w:ascii="Arial" w:eastAsia="Times New Roman" w:hAnsi="Arial" w:cs="Arial"/>
          <w:sz w:val="24"/>
          <w:szCs w:val="24"/>
          <w:lang w:eastAsia="pt-BR"/>
        </w:rPr>
        <w:t xml:space="preserve">No que se refere à Reforma Tributária (EC nº 132/2023), embora o projeto não trate diretamente de tributos, há correlação indireta, </w:t>
      </w:r>
      <w:proofErr w:type="gramStart"/>
      <w:r w:rsidRPr="00A70375">
        <w:rPr>
          <w:rFonts w:ascii="Arial" w:eastAsia="Times New Roman" w:hAnsi="Arial" w:cs="Arial"/>
          <w:sz w:val="24"/>
          <w:szCs w:val="24"/>
          <w:lang w:eastAsia="pt-BR"/>
        </w:rPr>
        <w:t>pois</w:t>
      </w:r>
      <w:proofErr w:type="gramEnd"/>
      <w:r w:rsidRPr="00A70375">
        <w:rPr>
          <w:rFonts w:ascii="Arial" w:eastAsia="Times New Roman" w:hAnsi="Arial" w:cs="Arial"/>
          <w:sz w:val="24"/>
          <w:szCs w:val="24"/>
          <w:lang w:eastAsia="pt-BR"/>
        </w:rPr>
        <w:t xml:space="preserve"> a regularização fundiária</w:t>
      </w:r>
      <w:r>
        <w:rPr>
          <w:rFonts w:ascii="Arial" w:eastAsia="Times New Roman" w:hAnsi="Arial" w:cs="Arial"/>
          <w:sz w:val="24"/>
          <w:szCs w:val="24"/>
          <w:lang w:eastAsia="pt-BR"/>
        </w:rPr>
        <w:t xml:space="preserve"> </w:t>
      </w:r>
      <w:r w:rsidRPr="00A70375">
        <w:rPr>
          <w:rFonts w:ascii="Arial" w:eastAsia="Times New Roman" w:hAnsi="Arial" w:cs="Arial"/>
          <w:sz w:val="24"/>
          <w:szCs w:val="24"/>
          <w:lang w:eastAsia="pt-BR"/>
        </w:rPr>
        <w:t>melhora a base cadastral imobiliária</w:t>
      </w:r>
      <w:r>
        <w:rPr>
          <w:rFonts w:ascii="Arial" w:eastAsia="Times New Roman" w:hAnsi="Arial" w:cs="Arial"/>
          <w:sz w:val="24"/>
          <w:szCs w:val="24"/>
          <w:lang w:eastAsia="pt-BR"/>
        </w:rPr>
        <w:t xml:space="preserve"> e </w:t>
      </w:r>
      <w:r w:rsidRPr="00A70375">
        <w:rPr>
          <w:rFonts w:ascii="Arial" w:eastAsia="Times New Roman" w:hAnsi="Arial" w:cs="Arial"/>
          <w:sz w:val="24"/>
          <w:szCs w:val="24"/>
          <w:lang w:eastAsia="pt-BR"/>
        </w:rPr>
        <w:t>contribui para a justiça fiscal</w:t>
      </w:r>
      <w:r>
        <w:rPr>
          <w:rFonts w:ascii="Arial" w:eastAsia="Times New Roman" w:hAnsi="Arial" w:cs="Arial"/>
          <w:sz w:val="24"/>
          <w:szCs w:val="24"/>
          <w:lang w:eastAsia="pt-BR"/>
        </w:rPr>
        <w:t xml:space="preserve">, </w:t>
      </w:r>
      <w:r w:rsidRPr="00A70375">
        <w:rPr>
          <w:rFonts w:ascii="Arial" w:eastAsia="Times New Roman" w:hAnsi="Arial" w:cs="Arial"/>
          <w:sz w:val="24"/>
          <w:szCs w:val="24"/>
          <w:lang w:eastAsia="pt-BR"/>
        </w:rPr>
        <w:t>permit</w:t>
      </w:r>
      <w:r>
        <w:rPr>
          <w:rFonts w:ascii="Arial" w:eastAsia="Times New Roman" w:hAnsi="Arial" w:cs="Arial"/>
          <w:sz w:val="24"/>
          <w:szCs w:val="24"/>
          <w:lang w:eastAsia="pt-BR"/>
        </w:rPr>
        <w:t>indo, assim,</w:t>
      </w:r>
      <w:r w:rsidRPr="00A70375">
        <w:rPr>
          <w:rFonts w:ascii="Arial" w:eastAsia="Times New Roman" w:hAnsi="Arial" w:cs="Arial"/>
          <w:sz w:val="24"/>
          <w:szCs w:val="24"/>
          <w:lang w:eastAsia="pt-BR"/>
        </w:rPr>
        <w:t xml:space="preserve"> futura tributação adequada do IPTU, sem afronta à legalidade.</w:t>
      </w:r>
    </w:p>
    <w:p w14:paraId="7BFD915F" w14:textId="77777777" w:rsidR="00A70375" w:rsidRPr="00E76724" w:rsidRDefault="00A70375" w:rsidP="00A70375">
      <w:pPr>
        <w:pStyle w:val="Corpodetexto2"/>
        <w:spacing w:line="360" w:lineRule="auto"/>
        <w:ind w:firstLine="1985"/>
        <w:jc w:val="both"/>
        <w:rPr>
          <w:rFonts w:ascii="Arial" w:hAnsi="Arial" w:cs="Arial"/>
          <w:sz w:val="24"/>
          <w:szCs w:val="24"/>
        </w:rPr>
      </w:pPr>
    </w:p>
    <w:p w14:paraId="5D455E47" w14:textId="2EE12833" w:rsidR="00383933" w:rsidRPr="00E76724" w:rsidRDefault="00A70375" w:rsidP="00383933">
      <w:pPr>
        <w:spacing w:line="360" w:lineRule="auto"/>
        <w:jc w:val="both"/>
        <w:rPr>
          <w:rFonts w:ascii="Arial" w:hAnsi="Arial" w:cs="Arial"/>
          <w:b/>
          <w:sz w:val="24"/>
          <w:szCs w:val="24"/>
        </w:rPr>
      </w:pPr>
      <w:r w:rsidRPr="00A70375">
        <w:rPr>
          <w:rFonts w:ascii="Arial" w:hAnsi="Arial" w:cs="Arial"/>
          <w:b/>
          <w:sz w:val="24"/>
          <w:szCs w:val="24"/>
        </w:rPr>
        <w:t>2.2 – Da competência legislativa</w:t>
      </w:r>
      <w:r>
        <w:rPr>
          <w:rFonts w:ascii="Arial" w:hAnsi="Arial" w:cs="Arial"/>
          <w:b/>
          <w:sz w:val="24"/>
          <w:szCs w:val="24"/>
        </w:rPr>
        <w:t>.</w:t>
      </w:r>
    </w:p>
    <w:p w14:paraId="266D5306" w14:textId="27535407" w:rsidR="00A70375" w:rsidRPr="00A70375" w:rsidRDefault="00A70375" w:rsidP="00A70375">
      <w:pPr>
        <w:spacing w:line="360" w:lineRule="auto"/>
        <w:ind w:firstLine="2127"/>
        <w:jc w:val="both"/>
        <w:rPr>
          <w:rFonts w:ascii="Arial" w:hAnsi="Arial" w:cs="Arial"/>
          <w:sz w:val="24"/>
          <w:szCs w:val="24"/>
        </w:rPr>
      </w:pPr>
      <w:r w:rsidRPr="00A70375">
        <w:rPr>
          <w:rFonts w:ascii="Arial" w:hAnsi="Arial" w:cs="Arial"/>
          <w:sz w:val="24"/>
          <w:szCs w:val="24"/>
        </w:rPr>
        <w:t>A competência legislativa do Município para dispor sobre a matéria é plena e inequívoca, nos termos</w:t>
      </w:r>
      <w:r>
        <w:rPr>
          <w:rFonts w:ascii="Arial" w:hAnsi="Arial" w:cs="Arial"/>
          <w:sz w:val="24"/>
          <w:szCs w:val="24"/>
        </w:rPr>
        <w:t xml:space="preserve"> </w:t>
      </w:r>
      <w:r w:rsidRPr="00A70375">
        <w:rPr>
          <w:rFonts w:ascii="Arial" w:hAnsi="Arial" w:cs="Arial"/>
          <w:sz w:val="24"/>
          <w:szCs w:val="24"/>
        </w:rPr>
        <w:t>do art. 30, I e VIII, da Constituição Federal</w:t>
      </w:r>
      <w:r>
        <w:rPr>
          <w:rFonts w:ascii="Arial" w:hAnsi="Arial" w:cs="Arial"/>
          <w:sz w:val="24"/>
          <w:szCs w:val="24"/>
        </w:rPr>
        <w:t>, bem como pelo</w:t>
      </w:r>
      <w:r w:rsidRPr="00A70375">
        <w:rPr>
          <w:rFonts w:ascii="Arial" w:hAnsi="Arial" w:cs="Arial"/>
          <w:sz w:val="24"/>
          <w:szCs w:val="24"/>
        </w:rPr>
        <w:t xml:space="preserve"> Estatuto da Cidade (Lei Federal nº 10.257/2001)</w:t>
      </w:r>
      <w:r>
        <w:rPr>
          <w:rFonts w:ascii="Arial" w:hAnsi="Arial" w:cs="Arial"/>
          <w:sz w:val="24"/>
          <w:szCs w:val="24"/>
        </w:rPr>
        <w:t xml:space="preserve"> e </w:t>
      </w:r>
      <w:r w:rsidRPr="00A70375">
        <w:rPr>
          <w:rFonts w:ascii="Arial" w:hAnsi="Arial" w:cs="Arial"/>
          <w:sz w:val="24"/>
          <w:szCs w:val="24"/>
        </w:rPr>
        <w:t>da Lei Orgânica Municipal.</w:t>
      </w:r>
    </w:p>
    <w:p w14:paraId="17C3DFD4" w14:textId="444E2EAB" w:rsidR="006568A7" w:rsidRDefault="00A70375" w:rsidP="00A70375">
      <w:pPr>
        <w:spacing w:line="360" w:lineRule="auto"/>
        <w:ind w:firstLine="2127"/>
        <w:jc w:val="both"/>
        <w:rPr>
          <w:rFonts w:ascii="Arial" w:hAnsi="Arial" w:cs="Arial"/>
          <w:sz w:val="24"/>
          <w:szCs w:val="24"/>
        </w:rPr>
      </w:pPr>
      <w:r w:rsidRPr="00A70375">
        <w:rPr>
          <w:rFonts w:ascii="Arial" w:hAnsi="Arial" w:cs="Arial"/>
          <w:sz w:val="24"/>
          <w:szCs w:val="24"/>
        </w:rPr>
        <w:t>A iniciativa do projeto é legítima, por se tratar de proposição do Poder Executivo que regula procedimento administrativo e política urbana municipal. Não se verifica qualquer invasão de competência da União ou do Estado.</w:t>
      </w:r>
    </w:p>
    <w:p w14:paraId="0B6D6073" w14:textId="77777777" w:rsidR="00A70375" w:rsidRDefault="00A70375" w:rsidP="00A70375">
      <w:pPr>
        <w:spacing w:line="360" w:lineRule="auto"/>
        <w:ind w:firstLine="2127"/>
        <w:jc w:val="both"/>
        <w:rPr>
          <w:rFonts w:ascii="Arial" w:hAnsi="Arial" w:cs="Arial"/>
          <w:sz w:val="24"/>
          <w:szCs w:val="24"/>
        </w:rPr>
      </w:pPr>
    </w:p>
    <w:p w14:paraId="3E08AF9B" w14:textId="2D9A8B4A" w:rsidR="00A70375" w:rsidRPr="00A70375" w:rsidRDefault="00A70375" w:rsidP="00A70375">
      <w:pPr>
        <w:spacing w:line="360" w:lineRule="auto"/>
        <w:jc w:val="both"/>
        <w:rPr>
          <w:rFonts w:ascii="Arial" w:hAnsi="Arial" w:cs="Arial"/>
          <w:b/>
          <w:bCs/>
          <w:sz w:val="24"/>
          <w:szCs w:val="24"/>
        </w:rPr>
      </w:pPr>
      <w:r>
        <w:rPr>
          <w:rFonts w:ascii="Arial" w:hAnsi="Arial" w:cs="Arial"/>
          <w:b/>
          <w:bCs/>
          <w:sz w:val="24"/>
          <w:szCs w:val="24"/>
        </w:rPr>
        <w:t>III</w:t>
      </w:r>
      <w:r w:rsidRPr="00A70375">
        <w:rPr>
          <w:rFonts w:ascii="Arial" w:hAnsi="Arial" w:cs="Arial"/>
          <w:b/>
          <w:bCs/>
          <w:sz w:val="24"/>
          <w:szCs w:val="24"/>
        </w:rPr>
        <w:t xml:space="preserve"> – </w:t>
      </w:r>
      <w:r w:rsidRPr="00A70375">
        <w:rPr>
          <w:rFonts w:ascii="Arial" w:hAnsi="Arial" w:cs="Arial"/>
          <w:b/>
          <w:bCs/>
          <w:sz w:val="24"/>
          <w:szCs w:val="24"/>
        </w:rPr>
        <w:t>DA ESTRUTURA, REDAÇÃO E ARTICULAÇÃO DA LEI</w:t>
      </w:r>
    </w:p>
    <w:p w14:paraId="78946E6C" w14:textId="38A70303" w:rsidR="00A70375" w:rsidRPr="00A70375" w:rsidRDefault="00A70375" w:rsidP="00A70375">
      <w:pPr>
        <w:spacing w:line="360" w:lineRule="auto"/>
        <w:ind w:firstLine="2127"/>
        <w:jc w:val="both"/>
        <w:rPr>
          <w:rFonts w:ascii="Arial" w:eastAsia="Batang" w:hAnsi="Arial" w:cs="Arial"/>
          <w:color w:val="000000"/>
          <w:sz w:val="24"/>
          <w:szCs w:val="24"/>
        </w:rPr>
      </w:pPr>
      <w:r w:rsidRPr="00A70375">
        <w:rPr>
          <w:rFonts w:ascii="Arial" w:eastAsia="Batang" w:hAnsi="Arial" w:cs="Arial"/>
          <w:color w:val="000000"/>
          <w:sz w:val="24"/>
          <w:szCs w:val="24"/>
        </w:rPr>
        <w:t>A estrutura, redação e articulação das leis devem ser elaboradas e analisadas seguindo o disposto na Lei Complementar Federal nº 95, de 26 de fevereiro de 1998, que “Dispõe sobre a elaboração, a redação, a alteração e a consolidação das leis, conforme determina o parágrafo único do art. 59 da Constituição Federal, e estabelece normas para a consolidação dos</w:t>
      </w:r>
      <w:r>
        <w:rPr>
          <w:rFonts w:ascii="Arial" w:eastAsia="Batang" w:hAnsi="Arial" w:cs="Arial"/>
          <w:color w:val="000000"/>
          <w:sz w:val="24"/>
          <w:szCs w:val="24"/>
        </w:rPr>
        <w:t xml:space="preserve"> </w:t>
      </w:r>
      <w:r w:rsidRPr="00A70375">
        <w:rPr>
          <w:rFonts w:ascii="Arial" w:eastAsia="Batang" w:hAnsi="Arial" w:cs="Arial"/>
          <w:color w:val="000000"/>
          <w:sz w:val="24"/>
          <w:szCs w:val="24"/>
        </w:rPr>
        <w:t xml:space="preserve">atos normativos que menciona”. </w:t>
      </w:r>
    </w:p>
    <w:p w14:paraId="5AEDCB22" w14:textId="6BCB2878" w:rsidR="00A70375" w:rsidRDefault="00A70375" w:rsidP="00A70375">
      <w:pPr>
        <w:spacing w:line="360" w:lineRule="auto"/>
        <w:ind w:firstLine="2127"/>
        <w:jc w:val="both"/>
        <w:rPr>
          <w:rFonts w:ascii="Arial" w:eastAsia="Batang" w:hAnsi="Arial" w:cs="Arial"/>
          <w:color w:val="000000"/>
          <w:sz w:val="24"/>
          <w:szCs w:val="24"/>
        </w:rPr>
      </w:pPr>
      <w:r w:rsidRPr="00A70375">
        <w:rPr>
          <w:rFonts w:ascii="Arial" w:eastAsia="Batang" w:hAnsi="Arial" w:cs="Arial"/>
          <w:color w:val="000000"/>
          <w:sz w:val="24"/>
          <w:szCs w:val="24"/>
        </w:rPr>
        <w:lastRenderedPageBreak/>
        <w:t>Sob o prisma da técnica legislativa, o projeto apresenta estrutura adequada, com indicação expressa dos dispositivos alterados, redação clara e articulação lógica.</w:t>
      </w:r>
    </w:p>
    <w:p w14:paraId="04154DBE" w14:textId="77777777" w:rsidR="00A70375" w:rsidRDefault="00A70375" w:rsidP="00A70375">
      <w:pPr>
        <w:spacing w:line="360" w:lineRule="auto"/>
        <w:ind w:firstLine="2127"/>
        <w:jc w:val="both"/>
        <w:rPr>
          <w:rFonts w:ascii="Arial" w:eastAsia="Batang" w:hAnsi="Arial" w:cs="Arial"/>
          <w:color w:val="000000"/>
          <w:sz w:val="24"/>
          <w:szCs w:val="24"/>
        </w:rPr>
      </w:pPr>
    </w:p>
    <w:p w14:paraId="4DA911DE" w14:textId="77777777" w:rsidR="00A70375" w:rsidRPr="00A70375" w:rsidRDefault="00A70375" w:rsidP="00A70375">
      <w:pPr>
        <w:spacing w:line="360" w:lineRule="auto"/>
        <w:jc w:val="both"/>
        <w:rPr>
          <w:rFonts w:ascii="Arial" w:eastAsia="Batang" w:hAnsi="Arial" w:cs="Arial"/>
          <w:b/>
          <w:bCs/>
          <w:color w:val="000000"/>
          <w:sz w:val="24"/>
          <w:szCs w:val="24"/>
        </w:rPr>
      </w:pPr>
      <w:r w:rsidRPr="00A70375">
        <w:rPr>
          <w:rFonts w:ascii="Arial" w:eastAsia="Batang" w:hAnsi="Arial" w:cs="Arial"/>
          <w:b/>
          <w:bCs/>
          <w:color w:val="000000"/>
          <w:sz w:val="24"/>
          <w:szCs w:val="24"/>
        </w:rPr>
        <w:t xml:space="preserve">IV – DA CONCLUSÃO </w:t>
      </w:r>
    </w:p>
    <w:p w14:paraId="765ABABD" w14:textId="35B7223B" w:rsidR="00A70375" w:rsidRDefault="00A70375" w:rsidP="00A70375">
      <w:pPr>
        <w:spacing w:line="360" w:lineRule="auto"/>
        <w:ind w:firstLine="2127"/>
        <w:jc w:val="both"/>
        <w:rPr>
          <w:rFonts w:ascii="Arial" w:eastAsia="Batang" w:hAnsi="Arial" w:cs="Arial"/>
          <w:color w:val="000000"/>
          <w:sz w:val="24"/>
          <w:szCs w:val="24"/>
        </w:rPr>
      </w:pPr>
      <w:r w:rsidRPr="00A70375">
        <w:rPr>
          <w:rFonts w:ascii="Arial" w:eastAsia="Batang" w:hAnsi="Arial" w:cs="Arial"/>
          <w:color w:val="000000"/>
          <w:sz w:val="24"/>
          <w:szCs w:val="24"/>
        </w:rPr>
        <w:t>Diante do exposto, conclui-se, pela viabilidade jurídica do Projeto de Lei e, após as formalidades regimentais, pode ser submetido à votação em plenário, cabendo aos vereadores, com juízo crítico e análise das Comissões, avaliar sua adequação aos interesses locais.</w:t>
      </w:r>
    </w:p>
    <w:p w14:paraId="064BB19E" w14:textId="72A7FC6A" w:rsidR="00A70375" w:rsidRDefault="00A70375" w:rsidP="00383933">
      <w:pPr>
        <w:spacing w:line="360" w:lineRule="auto"/>
        <w:ind w:firstLine="2127"/>
        <w:jc w:val="both"/>
        <w:rPr>
          <w:rFonts w:ascii="Arial" w:eastAsia="Batang" w:hAnsi="Arial" w:cs="Arial"/>
          <w:color w:val="000000"/>
          <w:sz w:val="24"/>
          <w:szCs w:val="24"/>
        </w:rPr>
      </w:pPr>
      <w:r>
        <w:rPr>
          <w:rFonts w:ascii="Arial" w:eastAsia="Batang" w:hAnsi="Arial" w:cs="Arial"/>
          <w:i/>
          <w:iCs/>
          <w:color w:val="000000"/>
          <w:sz w:val="24"/>
          <w:szCs w:val="24"/>
        </w:rPr>
        <w:t>Salvo melhor juízo,</w:t>
      </w:r>
      <w:r>
        <w:rPr>
          <w:rFonts w:ascii="Arial" w:eastAsia="Batang" w:hAnsi="Arial" w:cs="Arial"/>
          <w:color w:val="000000"/>
          <w:sz w:val="24"/>
          <w:szCs w:val="24"/>
        </w:rPr>
        <w:t xml:space="preserve"> este é o </w:t>
      </w:r>
      <w:r>
        <w:rPr>
          <w:rFonts w:ascii="Arial" w:eastAsia="Batang" w:hAnsi="Arial" w:cs="Arial"/>
          <w:b/>
          <w:bCs/>
          <w:color w:val="000000"/>
          <w:sz w:val="24"/>
          <w:szCs w:val="24"/>
        </w:rPr>
        <w:t>Parecer.</w:t>
      </w:r>
    </w:p>
    <w:p w14:paraId="4B430363" w14:textId="1DE57907" w:rsidR="00A70375" w:rsidRPr="00A70375" w:rsidRDefault="00A70375" w:rsidP="00383933">
      <w:pPr>
        <w:spacing w:line="360" w:lineRule="auto"/>
        <w:ind w:firstLine="2127"/>
        <w:jc w:val="both"/>
        <w:rPr>
          <w:rFonts w:ascii="Arial" w:eastAsia="Batang" w:hAnsi="Arial" w:cs="Arial"/>
          <w:color w:val="000000"/>
          <w:sz w:val="24"/>
          <w:szCs w:val="24"/>
        </w:rPr>
      </w:pPr>
      <w:r>
        <w:rPr>
          <w:rFonts w:ascii="Arial" w:eastAsia="Batang" w:hAnsi="Arial" w:cs="Arial"/>
          <w:color w:val="000000"/>
          <w:sz w:val="24"/>
          <w:szCs w:val="24"/>
        </w:rPr>
        <w:t xml:space="preserve">Campo Novo do Parecis/MT, </w:t>
      </w:r>
      <w:r w:rsidR="004C4DA0">
        <w:rPr>
          <w:rFonts w:ascii="Arial" w:eastAsia="Batang" w:hAnsi="Arial" w:cs="Arial"/>
          <w:color w:val="000000"/>
          <w:sz w:val="24"/>
          <w:szCs w:val="24"/>
        </w:rPr>
        <w:t>18 de dezembro de 2025</w:t>
      </w:r>
    </w:p>
    <w:p w14:paraId="41E82337" w14:textId="77777777" w:rsidR="00A70375" w:rsidRDefault="00A70375" w:rsidP="00383933">
      <w:pPr>
        <w:spacing w:line="360" w:lineRule="auto"/>
        <w:ind w:firstLine="2127"/>
        <w:jc w:val="both"/>
        <w:rPr>
          <w:rFonts w:ascii="Arial" w:eastAsia="Batang" w:hAnsi="Arial" w:cs="Arial"/>
          <w:color w:val="000000"/>
          <w:sz w:val="24"/>
          <w:szCs w:val="24"/>
        </w:rPr>
      </w:pPr>
    </w:p>
    <w:p w14:paraId="7260CE52" w14:textId="2D882F10" w:rsidR="006A73AD" w:rsidRDefault="004C4DA0" w:rsidP="004C4DA0">
      <w:pPr>
        <w:spacing w:line="360" w:lineRule="auto"/>
        <w:ind w:left="1416" w:firstLine="708"/>
        <w:jc w:val="center"/>
        <w:rPr>
          <w:rFonts w:ascii="Arial" w:hAnsi="Arial" w:cs="Arial"/>
          <w:b/>
          <w:bCs/>
          <w:color w:val="000000"/>
          <w:sz w:val="24"/>
          <w:szCs w:val="24"/>
        </w:rPr>
      </w:pPr>
      <w:r>
        <w:rPr>
          <w:rFonts w:ascii="Arial" w:hAnsi="Arial" w:cs="Arial"/>
          <w:b/>
          <w:bCs/>
          <w:color w:val="000000"/>
          <w:sz w:val="24"/>
          <w:szCs w:val="24"/>
        </w:rPr>
        <w:t>EDSON VEIGA</w:t>
      </w:r>
    </w:p>
    <w:p w14:paraId="0D6D7092" w14:textId="4BB63B6E" w:rsidR="004C4DA0" w:rsidRDefault="004C4DA0" w:rsidP="004C4DA0">
      <w:pPr>
        <w:spacing w:line="360" w:lineRule="auto"/>
        <w:ind w:left="1416" w:firstLine="708"/>
        <w:jc w:val="center"/>
        <w:rPr>
          <w:rFonts w:ascii="Arial" w:hAnsi="Arial" w:cs="Arial"/>
          <w:b/>
          <w:bCs/>
          <w:color w:val="000000"/>
          <w:sz w:val="24"/>
          <w:szCs w:val="24"/>
        </w:rPr>
      </w:pPr>
      <w:r>
        <w:rPr>
          <w:rFonts w:ascii="Arial" w:hAnsi="Arial" w:cs="Arial"/>
          <w:b/>
          <w:bCs/>
          <w:color w:val="000000"/>
          <w:sz w:val="24"/>
          <w:szCs w:val="24"/>
        </w:rPr>
        <w:t>OAB/MT 21.473-O</w:t>
      </w:r>
    </w:p>
    <w:p w14:paraId="06D80F96" w14:textId="6A0CD3FB" w:rsidR="006A73AD" w:rsidRDefault="004C4DA0" w:rsidP="004C4DA0">
      <w:pPr>
        <w:spacing w:line="360" w:lineRule="auto"/>
        <w:ind w:left="1416" w:firstLine="708"/>
        <w:jc w:val="center"/>
        <w:rPr>
          <w:rFonts w:ascii="Arial" w:hAnsi="Arial" w:cs="Arial"/>
          <w:b/>
          <w:bCs/>
          <w:color w:val="000000"/>
          <w:sz w:val="24"/>
          <w:szCs w:val="24"/>
        </w:rPr>
      </w:pPr>
      <w:r>
        <w:rPr>
          <w:rFonts w:ascii="Arial" w:hAnsi="Arial" w:cs="Arial"/>
          <w:b/>
          <w:bCs/>
          <w:color w:val="000000"/>
          <w:sz w:val="24"/>
          <w:szCs w:val="24"/>
        </w:rPr>
        <w:t>ASSESSOR JURÍDICO</w:t>
      </w:r>
    </w:p>
    <w:p w14:paraId="065E7FFD" w14:textId="77777777" w:rsidR="006A73AD" w:rsidRPr="003C53BF" w:rsidRDefault="006A73AD" w:rsidP="00915264">
      <w:pPr>
        <w:spacing w:line="360" w:lineRule="auto"/>
        <w:jc w:val="both"/>
        <w:rPr>
          <w:rFonts w:ascii="Arial" w:hAnsi="Arial" w:cs="Arial"/>
          <w:b/>
          <w:bCs/>
          <w:color w:val="000000"/>
          <w:sz w:val="24"/>
          <w:szCs w:val="24"/>
        </w:rPr>
      </w:pPr>
    </w:p>
    <w:sectPr w:rsidR="006A73AD" w:rsidRPr="003C53BF" w:rsidSect="00B77998">
      <w:headerReference w:type="default" r:id="rId7"/>
      <w:footerReference w:type="default" r:id="rId8"/>
      <w:pgSz w:w="11907" w:h="16840" w:code="9"/>
      <w:pgMar w:top="1021" w:right="1701" w:bottom="567" w:left="1797" w:header="850" w:footer="32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CBBA" w14:textId="77777777" w:rsidR="001441F4" w:rsidRDefault="001441F4">
      <w:r>
        <w:separator/>
      </w:r>
    </w:p>
  </w:endnote>
  <w:endnote w:type="continuationSeparator" w:id="0">
    <w:p w14:paraId="5D87D933" w14:textId="77777777" w:rsidR="001441F4" w:rsidRDefault="0014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BC5B" w14:textId="77777777" w:rsidR="00056332" w:rsidRDefault="00056332" w:rsidP="00056332">
    <w:pPr>
      <w:pStyle w:val="Rodap"/>
    </w:pPr>
  </w:p>
  <w:p w14:paraId="5981BCE8" w14:textId="77777777" w:rsidR="009F196D" w:rsidRPr="00056332" w:rsidRDefault="009F196D" w:rsidP="000563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09462" w14:textId="77777777" w:rsidR="001441F4" w:rsidRDefault="001441F4">
      <w:r>
        <w:separator/>
      </w:r>
    </w:p>
  </w:footnote>
  <w:footnote w:type="continuationSeparator" w:id="0">
    <w:p w14:paraId="5F7AF7F8" w14:textId="77777777" w:rsidR="001441F4" w:rsidRDefault="00144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C918" w14:textId="77777777" w:rsidR="00602018" w:rsidRDefault="00161C51">
    <w:pPr>
      <w:pStyle w:val="Cabealho"/>
    </w:pPr>
    <w:r w:rsidRPr="00602018">
      <w:rPr>
        <w:noProof/>
        <w:lang w:eastAsia="pt-BR"/>
      </w:rPr>
      <w:drawing>
        <wp:inline distT="0" distB="0" distL="0" distR="0" wp14:anchorId="4889B7A6" wp14:editId="6657416E">
          <wp:extent cx="5339715" cy="662313"/>
          <wp:effectExtent l="19050" t="0" r="0" b="0"/>
          <wp:docPr id="3" name="Imagem 3"/>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9715" cy="662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E2F07"/>
    <w:multiLevelType w:val="hybridMultilevel"/>
    <w:tmpl w:val="DAEC280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 w15:restartNumberingAfterBreak="0">
    <w:nsid w:val="5B1B623A"/>
    <w:multiLevelType w:val="hybridMultilevel"/>
    <w:tmpl w:val="2398DDF8"/>
    <w:lvl w:ilvl="0" w:tplc="04160001">
      <w:start w:val="1"/>
      <w:numFmt w:val="bullet"/>
      <w:lvlText w:val=""/>
      <w:lvlJc w:val="left"/>
      <w:pPr>
        <w:ind w:left="2847" w:hanging="360"/>
      </w:pPr>
      <w:rPr>
        <w:rFonts w:ascii="Symbol" w:hAnsi="Symbol" w:hint="default"/>
      </w:rPr>
    </w:lvl>
    <w:lvl w:ilvl="1" w:tplc="04160003" w:tentative="1">
      <w:start w:val="1"/>
      <w:numFmt w:val="bullet"/>
      <w:lvlText w:val="o"/>
      <w:lvlJc w:val="left"/>
      <w:pPr>
        <w:ind w:left="3567" w:hanging="360"/>
      </w:pPr>
      <w:rPr>
        <w:rFonts w:ascii="Courier New" w:hAnsi="Courier New" w:cs="Courier New" w:hint="default"/>
      </w:rPr>
    </w:lvl>
    <w:lvl w:ilvl="2" w:tplc="04160005" w:tentative="1">
      <w:start w:val="1"/>
      <w:numFmt w:val="bullet"/>
      <w:lvlText w:val=""/>
      <w:lvlJc w:val="left"/>
      <w:pPr>
        <w:ind w:left="4287" w:hanging="360"/>
      </w:pPr>
      <w:rPr>
        <w:rFonts w:ascii="Wingdings" w:hAnsi="Wingdings" w:hint="default"/>
      </w:rPr>
    </w:lvl>
    <w:lvl w:ilvl="3" w:tplc="04160001" w:tentative="1">
      <w:start w:val="1"/>
      <w:numFmt w:val="bullet"/>
      <w:lvlText w:val=""/>
      <w:lvlJc w:val="left"/>
      <w:pPr>
        <w:ind w:left="5007" w:hanging="360"/>
      </w:pPr>
      <w:rPr>
        <w:rFonts w:ascii="Symbol" w:hAnsi="Symbol" w:hint="default"/>
      </w:rPr>
    </w:lvl>
    <w:lvl w:ilvl="4" w:tplc="04160003" w:tentative="1">
      <w:start w:val="1"/>
      <w:numFmt w:val="bullet"/>
      <w:lvlText w:val="o"/>
      <w:lvlJc w:val="left"/>
      <w:pPr>
        <w:ind w:left="5727" w:hanging="360"/>
      </w:pPr>
      <w:rPr>
        <w:rFonts w:ascii="Courier New" w:hAnsi="Courier New" w:cs="Courier New" w:hint="default"/>
      </w:rPr>
    </w:lvl>
    <w:lvl w:ilvl="5" w:tplc="04160005" w:tentative="1">
      <w:start w:val="1"/>
      <w:numFmt w:val="bullet"/>
      <w:lvlText w:val=""/>
      <w:lvlJc w:val="left"/>
      <w:pPr>
        <w:ind w:left="6447" w:hanging="360"/>
      </w:pPr>
      <w:rPr>
        <w:rFonts w:ascii="Wingdings" w:hAnsi="Wingdings" w:hint="default"/>
      </w:rPr>
    </w:lvl>
    <w:lvl w:ilvl="6" w:tplc="04160001" w:tentative="1">
      <w:start w:val="1"/>
      <w:numFmt w:val="bullet"/>
      <w:lvlText w:val=""/>
      <w:lvlJc w:val="left"/>
      <w:pPr>
        <w:ind w:left="7167" w:hanging="360"/>
      </w:pPr>
      <w:rPr>
        <w:rFonts w:ascii="Symbol" w:hAnsi="Symbol" w:hint="default"/>
      </w:rPr>
    </w:lvl>
    <w:lvl w:ilvl="7" w:tplc="04160003" w:tentative="1">
      <w:start w:val="1"/>
      <w:numFmt w:val="bullet"/>
      <w:lvlText w:val="o"/>
      <w:lvlJc w:val="left"/>
      <w:pPr>
        <w:ind w:left="7887" w:hanging="360"/>
      </w:pPr>
      <w:rPr>
        <w:rFonts w:ascii="Courier New" w:hAnsi="Courier New" w:cs="Courier New" w:hint="default"/>
      </w:rPr>
    </w:lvl>
    <w:lvl w:ilvl="8" w:tplc="04160005" w:tentative="1">
      <w:start w:val="1"/>
      <w:numFmt w:val="bullet"/>
      <w:lvlText w:val=""/>
      <w:lvlJc w:val="left"/>
      <w:pPr>
        <w:ind w:left="8607" w:hanging="360"/>
      </w:pPr>
      <w:rPr>
        <w:rFonts w:ascii="Wingdings" w:hAnsi="Wingdings" w:hint="default"/>
      </w:rPr>
    </w:lvl>
  </w:abstractNum>
  <w:num w:numId="1" w16cid:durableId="372922275">
    <w:abstractNumId w:val="1"/>
  </w:num>
  <w:num w:numId="2" w16cid:durableId="399325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0202F"/>
    <w:rsid w:val="000138B3"/>
    <w:rsid w:val="00056332"/>
    <w:rsid w:val="00065A6D"/>
    <w:rsid w:val="00092F39"/>
    <w:rsid w:val="000C6EC2"/>
    <w:rsid w:val="000D4380"/>
    <w:rsid w:val="00134295"/>
    <w:rsid w:val="00141FB6"/>
    <w:rsid w:val="001426D8"/>
    <w:rsid w:val="001441F4"/>
    <w:rsid w:val="00161C51"/>
    <w:rsid w:val="001915A3"/>
    <w:rsid w:val="001A0C5A"/>
    <w:rsid w:val="001A18FB"/>
    <w:rsid w:val="001B59CD"/>
    <w:rsid w:val="001B64C9"/>
    <w:rsid w:val="001B7933"/>
    <w:rsid w:val="001C793C"/>
    <w:rsid w:val="001D0461"/>
    <w:rsid w:val="001D3653"/>
    <w:rsid w:val="001D557D"/>
    <w:rsid w:val="001D706B"/>
    <w:rsid w:val="001E3642"/>
    <w:rsid w:val="001F2A49"/>
    <w:rsid w:val="00216412"/>
    <w:rsid w:val="00217F62"/>
    <w:rsid w:val="002309C4"/>
    <w:rsid w:val="00247102"/>
    <w:rsid w:val="00282DA5"/>
    <w:rsid w:val="002F381B"/>
    <w:rsid w:val="00311389"/>
    <w:rsid w:val="00324E27"/>
    <w:rsid w:val="003313E4"/>
    <w:rsid w:val="00337A58"/>
    <w:rsid w:val="00370E73"/>
    <w:rsid w:val="00383933"/>
    <w:rsid w:val="00397B32"/>
    <w:rsid w:val="003B0DC6"/>
    <w:rsid w:val="003B1D0D"/>
    <w:rsid w:val="003C4609"/>
    <w:rsid w:val="003C53BF"/>
    <w:rsid w:val="003F124F"/>
    <w:rsid w:val="003F53FA"/>
    <w:rsid w:val="00403451"/>
    <w:rsid w:val="0040597E"/>
    <w:rsid w:val="00413404"/>
    <w:rsid w:val="00435A66"/>
    <w:rsid w:val="00442D0F"/>
    <w:rsid w:val="00474F80"/>
    <w:rsid w:val="00487B11"/>
    <w:rsid w:val="004A3A40"/>
    <w:rsid w:val="004B37FF"/>
    <w:rsid w:val="004C454B"/>
    <w:rsid w:val="004C4DA0"/>
    <w:rsid w:val="004D4398"/>
    <w:rsid w:val="004D47FD"/>
    <w:rsid w:val="004E3B7D"/>
    <w:rsid w:val="004E46E0"/>
    <w:rsid w:val="00502AF7"/>
    <w:rsid w:val="00537B04"/>
    <w:rsid w:val="00550BF7"/>
    <w:rsid w:val="00552962"/>
    <w:rsid w:val="00562A4C"/>
    <w:rsid w:val="00562C72"/>
    <w:rsid w:val="005A3C24"/>
    <w:rsid w:val="005B0172"/>
    <w:rsid w:val="005C664B"/>
    <w:rsid w:val="005D7A48"/>
    <w:rsid w:val="005E222E"/>
    <w:rsid w:val="005F774F"/>
    <w:rsid w:val="00602018"/>
    <w:rsid w:val="00614C8C"/>
    <w:rsid w:val="00627D91"/>
    <w:rsid w:val="00644B32"/>
    <w:rsid w:val="00652A0F"/>
    <w:rsid w:val="006568A7"/>
    <w:rsid w:val="0066063D"/>
    <w:rsid w:val="00672B44"/>
    <w:rsid w:val="006A73AD"/>
    <w:rsid w:val="006B77F2"/>
    <w:rsid w:val="006C00C4"/>
    <w:rsid w:val="006D0CE1"/>
    <w:rsid w:val="006E7C35"/>
    <w:rsid w:val="00700B60"/>
    <w:rsid w:val="00723729"/>
    <w:rsid w:val="00736D49"/>
    <w:rsid w:val="00755A31"/>
    <w:rsid w:val="00763DE3"/>
    <w:rsid w:val="00764B11"/>
    <w:rsid w:val="00764CC3"/>
    <w:rsid w:val="0079739D"/>
    <w:rsid w:val="007F62CC"/>
    <w:rsid w:val="00801CC4"/>
    <w:rsid w:val="00833AAB"/>
    <w:rsid w:val="00846DFC"/>
    <w:rsid w:val="00864F61"/>
    <w:rsid w:val="008A1670"/>
    <w:rsid w:val="008B39E6"/>
    <w:rsid w:val="008B4B33"/>
    <w:rsid w:val="008D4976"/>
    <w:rsid w:val="008E5148"/>
    <w:rsid w:val="009026F6"/>
    <w:rsid w:val="009123EE"/>
    <w:rsid w:val="00914C75"/>
    <w:rsid w:val="00915264"/>
    <w:rsid w:val="0091599C"/>
    <w:rsid w:val="00922011"/>
    <w:rsid w:val="009261FD"/>
    <w:rsid w:val="00943703"/>
    <w:rsid w:val="00952FC1"/>
    <w:rsid w:val="009936AD"/>
    <w:rsid w:val="009A0874"/>
    <w:rsid w:val="009F196D"/>
    <w:rsid w:val="00A2331B"/>
    <w:rsid w:val="00A52E96"/>
    <w:rsid w:val="00A57638"/>
    <w:rsid w:val="00A70375"/>
    <w:rsid w:val="00A779C1"/>
    <w:rsid w:val="00A81A77"/>
    <w:rsid w:val="00A86382"/>
    <w:rsid w:val="00A906D8"/>
    <w:rsid w:val="00AA5D34"/>
    <w:rsid w:val="00AB5A74"/>
    <w:rsid w:val="00AB60E5"/>
    <w:rsid w:val="00AD2BE3"/>
    <w:rsid w:val="00AE4D96"/>
    <w:rsid w:val="00AF0439"/>
    <w:rsid w:val="00AF566C"/>
    <w:rsid w:val="00B022E6"/>
    <w:rsid w:val="00B06270"/>
    <w:rsid w:val="00B36394"/>
    <w:rsid w:val="00B53C57"/>
    <w:rsid w:val="00B77998"/>
    <w:rsid w:val="00BB3D1C"/>
    <w:rsid w:val="00BC7120"/>
    <w:rsid w:val="00BE540E"/>
    <w:rsid w:val="00C04159"/>
    <w:rsid w:val="00C428D6"/>
    <w:rsid w:val="00C6084F"/>
    <w:rsid w:val="00C63EDB"/>
    <w:rsid w:val="00C72CD3"/>
    <w:rsid w:val="00C7331B"/>
    <w:rsid w:val="00C75F41"/>
    <w:rsid w:val="00C7603A"/>
    <w:rsid w:val="00CB0BAC"/>
    <w:rsid w:val="00D13F11"/>
    <w:rsid w:val="00D257AF"/>
    <w:rsid w:val="00D33CC6"/>
    <w:rsid w:val="00D55261"/>
    <w:rsid w:val="00D57B1B"/>
    <w:rsid w:val="00D57E1A"/>
    <w:rsid w:val="00D80BCF"/>
    <w:rsid w:val="00D9361F"/>
    <w:rsid w:val="00D940E1"/>
    <w:rsid w:val="00DD414F"/>
    <w:rsid w:val="00E25547"/>
    <w:rsid w:val="00E27F61"/>
    <w:rsid w:val="00E425D1"/>
    <w:rsid w:val="00E54A6E"/>
    <w:rsid w:val="00E56ECA"/>
    <w:rsid w:val="00E71E9A"/>
    <w:rsid w:val="00E75607"/>
    <w:rsid w:val="00EA656D"/>
    <w:rsid w:val="00EB2745"/>
    <w:rsid w:val="00EB7409"/>
    <w:rsid w:val="00ED0132"/>
    <w:rsid w:val="00ED36D6"/>
    <w:rsid w:val="00F057FC"/>
    <w:rsid w:val="00F06B5F"/>
    <w:rsid w:val="00F071AE"/>
    <w:rsid w:val="00F17175"/>
    <w:rsid w:val="00F251E6"/>
    <w:rsid w:val="00F268D8"/>
    <w:rsid w:val="00F31749"/>
    <w:rsid w:val="00F40D1F"/>
    <w:rsid w:val="00F63F90"/>
    <w:rsid w:val="00F738CE"/>
    <w:rsid w:val="00FB2531"/>
    <w:rsid w:val="00FE5FC1"/>
    <w:rsid w:val="00FF4A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06DFF"/>
  <w15:docId w15:val="{0674DAC6-2C3E-4787-8239-5BA3F7CC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502AF7"/>
    <w:pPr>
      <w:tabs>
        <w:tab w:val="center" w:pos="4252"/>
        <w:tab w:val="right" w:pos="8504"/>
      </w:tabs>
    </w:pPr>
  </w:style>
  <w:style w:type="character" w:customStyle="1" w:styleId="CabealhoChar">
    <w:name w:val="Cabeçalho Char"/>
    <w:basedOn w:val="Fontepargpadro"/>
    <w:link w:val="Cabealho"/>
    <w:uiPriority w:val="99"/>
    <w:rsid w:val="00502AF7"/>
  </w:style>
  <w:style w:type="paragraph" w:styleId="Textodebalo">
    <w:name w:val="Balloon Text"/>
    <w:basedOn w:val="Normal"/>
    <w:link w:val="TextodebaloChar"/>
    <w:uiPriority w:val="99"/>
    <w:semiHidden/>
    <w:unhideWhenUsed/>
    <w:rsid w:val="00602018"/>
    <w:rPr>
      <w:rFonts w:ascii="Tahoma" w:hAnsi="Tahoma" w:cs="Tahoma"/>
      <w:sz w:val="16"/>
      <w:szCs w:val="16"/>
    </w:rPr>
  </w:style>
  <w:style w:type="character" w:customStyle="1" w:styleId="TextodebaloChar">
    <w:name w:val="Texto de balão Char"/>
    <w:basedOn w:val="Fontepargpadro"/>
    <w:link w:val="Textodebalo"/>
    <w:uiPriority w:val="99"/>
    <w:semiHidden/>
    <w:rsid w:val="00602018"/>
    <w:rPr>
      <w:rFonts w:ascii="Tahoma" w:hAnsi="Tahoma" w:cs="Tahoma"/>
      <w:sz w:val="16"/>
      <w:szCs w:val="16"/>
    </w:rPr>
  </w:style>
  <w:style w:type="paragraph" w:customStyle="1" w:styleId="ecxmsonormal">
    <w:name w:val="ecxmsonormal"/>
    <w:basedOn w:val="Normal"/>
    <w:rsid w:val="0000202F"/>
    <w:pPr>
      <w:spacing w:after="324"/>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nhideWhenUsed/>
    <w:rsid w:val="00562A4C"/>
    <w:pPr>
      <w:ind w:right="283" w:firstLine="709"/>
      <w:jc w:val="right"/>
    </w:pPr>
    <w:rPr>
      <w:rFonts w:ascii="Times New Roman" w:eastAsia="Times New Roman" w:hAnsi="Times New Roman" w:cs="Times New Roman"/>
      <w:b/>
      <w:i/>
      <w:sz w:val="24"/>
      <w:szCs w:val="20"/>
      <w:lang w:eastAsia="pt-BR"/>
    </w:rPr>
  </w:style>
  <w:style w:type="character" w:customStyle="1" w:styleId="Recuodecorpodetexto2Char">
    <w:name w:val="Recuo de corpo de texto 2 Char"/>
    <w:basedOn w:val="Fontepargpadro"/>
    <w:link w:val="Recuodecorpodetexto2"/>
    <w:rsid w:val="00562A4C"/>
    <w:rPr>
      <w:rFonts w:ascii="Times New Roman" w:eastAsia="Times New Roman" w:hAnsi="Times New Roman" w:cs="Times New Roman"/>
      <w:b/>
      <w:i/>
      <w:sz w:val="24"/>
      <w:szCs w:val="20"/>
      <w:lang w:eastAsia="pt-BR"/>
    </w:rPr>
  </w:style>
  <w:style w:type="paragraph" w:styleId="Corpodetexto">
    <w:name w:val="Body Text"/>
    <w:basedOn w:val="Normal"/>
    <w:link w:val="CorpodetextoChar"/>
    <w:uiPriority w:val="99"/>
    <w:semiHidden/>
    <w:unhideWhenUsed/>
    <w:rsid w:val="005C664B"/>
    <w:pPr>
      <w:spacing w:after="120"/>
    </w:pPr>
  </w:style>
  <w:style w:type="character" w:customStyle="1" w:styleId="CorpodetextoChar">
    <w:name w:val="Corpo de texto Char"/>
    <w:basedOn w:val="Fontepargpadro"/>
    <w:link w:val="Corpodetexto"/>
    <w:uiPriority w:val="99"/>
    <w:semiHidden/>
    <w:rsid w:val="005C664B"/>
  </w:style>
  <w:style w:type="paragraph" w:styleId="Recuodecorpodetexto3">
    <w:name w:val="Body Text Indent 3"/>
    <w:basedOn w:val="Normal"/>
    <w:link w:val="Recuodecorpodetexto3Char"/>
    <w:uiPriority w:val="99"/>
    <w:semiHidden/>
    <w:unhideWhenUsed/>
    <w:rsid w:val="005C664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5C664B"/>
    <w:rPr>
      <w:sz w:val="16"/>
      <w:szCs w:val="16"/>
    </w:rPr>
  </w:style>
  <w:style w:type="character" w:styleId="Hyperlink">
    <w:name w:val="Hyperlink"/>
    <w:basedOn w:val="Fontepargpadro"/>
    <w:uiPriority w:val="99"/>
    <w:semiHidden/>
    <w:unhideWhenUsed/>
    <w:rsid w:val="005C664B"/>
    <w:rPr>
      <w:color w:val="0000FF" w:themeColor="hyperlink"/>
      <w:u w:val="single"/>
    </w:rPr>
  </w:style>
  <w:style w:type="paragraph" w:styleId="Recuodecorpodetexto">
    <w:name w:val="Body Text Indent"/>
    <w:basedOn w:val="Normal"/>
    <w:link w:val="RecuodecorpodetextoChar"/>
    <w:uiPriority w:val="99"/>
    <w:semiHidden/>
    <w:unhideWhenUsed/>
    <w:rsid w:val="001D706B"/>
    <w:pPr>
      <w:spacing w:after="120"/>
      <w:ind w:left="283"/>
    </w:pPr>
  </w:style>
  <w:style w:type="character" w:customStyle="1" w:styleId="RecuodecorpodetextoChar">
    <w:name w:val="Recuo de corpo de texto Char"/>
    <w:basedOn w:val="Fontepargpadro"/>
    <w:link w:val="Recuodecorpodetexto"/>
    <w:uiPriority w:val="99"/>
    <w:semiHidden/>
    <w:rsid w:val="001D706B"/>
  </w:style>
  <w:style w:type="paragraph" w:styleId="Corpodetexto2">
    <w:name w:val="Body Text 2"/>
    <w:basedOn w:val="Normal"/>
    <w:link w:val="Corpodetexto2Char"/>
    <w:uiPriority w:val="99"/>
    <w:semiHidden/>
    <w:unhideWhenUsed/>
    <w:rsid w:val="00C6084F"/>
    <w:pPr>
      <w:spacing w:after="120" w:line="480" w:lineRule="auto"/>
    </w:pPr>
  </w:style>
  <w:style w:type="character" w:customStyle="1" w:styleId="Corpodetexto2Char">
    <w:name w:val="Corpo de texto 2 Char"/>
    <w:basedOn w:val="Fontepargpadro"/>
    <w:link w:val="Corpodetexto2"/>
    <w:uiPriority w:val="99"/>
    <w:semiHidden/>
    <w:rsid w:val="00C6084F"/>
  </w:style>
  <w:style w:type="paragraph" w:styleId="PargrafodaLista">
    <w:name w:val="List Paragraph"/>
    <w:basedOn w:val="Normal"/>
    <w:uiPriority w:val="34"/>
    <w:qFormat/>
    <w:rsid w:val="00383933"/>
    <w:pPr>
      <w:ind w:left="720"/>
      <w:contextualSpacing/>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3115">
      <w:bodyDiv w:val="1"/>
      <w:marLeft w:val="0"/>
      <w:marRight w:val="0"/>
      <w:marTop w:val="0"/>
      <w:marBottom w:val="0"/>
      <w:divBdr>
        <w:top w:val="none" w:sz="0" w:space="0" w:color="auto"/>
        <w:left w:val="none" w:sz="0" w:space="0" w:color="auto"/>
        <w:bottom w:val="none" w:sz="0" w:space="0" w:color="auto"/>
        <w:right w:val="none" w:sz="0" w:space="0" w:color="auto"/>
      </w:divBdr>
    </w:div>
    <w:div w:id="291908574">
      <w:bodyDiv w:val="1"/>
      <w:marLeft w:val="0"/>
      <w:marRight w:val="0"/>
      <w:marTop w:val="0"/>
      <w:marBottom w:val="0"/>
      <w:divBdr>
        <w:top w:val="none" w:sz="0" w:space="0" w:color="auto"/>
        <w:left w:val="none" w:sz="0" w:space="0" w:color="auto"/>
        <w:bottom w:val="none" w:sz="0" w:space="0" w:color="auto"/>
        <w:right w:val="none" w:sz="0" w:space="0" w:color="auto"/>
      </w:divBdr>
    </w:div>
    <w:div w:id="344601583">
      <w:bodyDiv w:val="1"/>
      <w:marLeft w:val="0"/>
      <w:marRight w:val="0"/>
      <w:marTop w:val="0"/>
      <w:marBottom w:val="0"/>
      <w:divBdr>
        <w:top w:val="none" w:sz="0" w:space="0" w:color="auto"/>
        <w:left w:val="none" w:sz="0" w:space="0" w:color="auto"/>
        <w:bottom w:val="none" w:sz="0" w:space="0" w:color="auto"/>
        <w:right w:val="none" w:sz="0" w:space="0" w:color="auto"/>
      </w:divBdr>
    </w:div>
    <w:div w:id="552734544">
      <w:bodyDiv w:val="1"/>
      <w:marLeft w:val="0"/>
      <w:marRight w:val="0"/>
      <w:marTop w:val="0"/>
      <w:marBottom w:val="0"/>
      <w:divBdr>
        <w:top w:val="none" w:sz="0" w:space="0" w:color="auto"/>
        <w:left w:val="none" w:sz="0" w:space="0" w:color="auto"/>
        <w:bottom w:val="none" w:sz="0" w:space="0" w:color="auto"/>
        <w:right w:val="none" w:sz="0" w:space="0" w:color="auto"/>
      </w:divBdr>
    </w:div>
    <w:div w:id="581984408">
      <w:bodyDiv w:val="1"/>
      <w:marLeft w:val="0"/>
      <w:marRight w:val="0"/>
      <w:marTop w:val="0"/>
      <w:marBottom w:val="0"/>
      <w:divBdr>
        <w:top w:val="none" w:sz="0" w:space="0" w:color="auto"/>
        <w:left w:val="none" w:sz="0" w:space="0" w:color="auto"/>
        <w:bottom w:val="none" w:sz="0" w:space="0" w:color="auto"/>
        <w:right w:val="none" w:sz="0" w:space="0" w:color="auto"/>
      </w:divBdr>
    </w:div>
    <w:div w:id="1210343023">
      <w:bodyDiv w:val="1"/>
      <w:marLeft w:val="0"/>
      <w:marRight w:val="0"/>
      <w:marTop w:val="0"/>
      <w:marBottom w:val="0"/>
      <w:divBdr>
        <w:top w:val="none" w:sz="0" w:space="0" w:color="auto"/>
        <w:left w:val="none" w:sz="0" w:space="0" w:color="auto"/>
        <w:bottom w:val="none" w:sz="0" w:space="0" w:color="auto"/>
        <w:right w:val="none" w:sz="0" w:space="0" w:color="auto"/>
      </w:divBdr>
    </w:div>
    <w:div w:id="1529297175">
      <w:bodyDiv w:val="1"/>
      <w:marLeft w:val="0"/>
      <w:marRight w:val="0"/>
      <w:marTop w:val="0"/>
      <w:marBottom w:val="0"/>
      <w:divBdr>
        <w:top w:val="none" w:sz="0" w:space="0" w:color="auto"/>
        <w:left w:val="none" w:sz="0" w:space="0" w:color="auto"/>
        <w:bottom w:val="none" w:sz="0" w:space="0" w:color="auto"/>
        <w:right w:val="none" w:sz="0" w:space="0" w:color="auto"/>
      </w:divBdr>
    </w:div>
    <w:div w:id="1825513229">
      <w:bodyDiv w:val="1"/>
      <w:marLeft w:val="0"/>
      <w:marRight w:val="0"/>
      <w:marTop w:val="0"/>
      <w:marBottom w:val="0"/>
      <w:divBdr>
        <w:top w:val="none" w:sz="0" w:space="0" w:color="auto"/>
        <w:left w:val="none" w:sz="0" w:space="0" w:color="auto"/>
        <w:bottom w:val="none" w:sz="0" w:space="0" w:color="auto"/>
        <w:right w:val="none" w:sz="0" w:space="0" w:color="auto"/>
      </w:divBdr>
    </w:div>
    <w:div w:id="2025784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794</Words>
  <Characters>4293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DALVA</dc:creator>
  <cp:lastModifiedBy>Edson Felipe Toniasso Veiga</cp:lastModifiedBy>
  <cp:revision>2</cp:revision>
  <cp:lastPrinted>2025-03-21T21:02:00Z</cp:lastPrinted>
  <dcterms:created xsi:type="dcterms:W3CDTF">2025-12-18T12:47:00Z</dcterms:created>
  <dcterms:modified xsi:type="dcterms:W3CDTF">2025-12-18T12:47:00Z</dcterms:modified>
</cp:coreProperties>
</file>