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E5" w:rsidRPr="000F1CE5" w:rsidRDefault="000F1CE5" w:rsidP="000F1CE5">
      <w:pPr>
        <w:ind w:right="-380"/>
        <w:jc w:val="both"/>
        <w:rPr>
          <w:rFonts w:ascii="Times New Roman" w:hAnsi="Times New Roman" w:cs="Times New Roman"/>
          <w:sz w:val="24"/>
          <w:szCs w:val="24"/>
        </w:rPr>
      </w:pPr>
    </w:p>
    <w:p w:rsidR="000F1CE5" w:rsidRPr="000F1CE5" w:rsidRDefault="00013D3C" w:rsidP="000F1CE5">
      <w:pPr>
        <w:ind w:right="-380"/>
        <w:jc w:val="both"/>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3.15pt;margin-top:12.55pt;width:347.25pt;height:47.25pt;z-index:251660288" fillcolor="#369" stroked="f">
            <v:shadow on="t" color="silver" offset="3pt"/>
            <v:textpath style="font-family:&quot;Times New Roman&quot;;font-size:14pt;font-weight:bold;v-text-kern:t" trim="t" fitpath="t" string="CÂMARA MUNICIPAL DE CAMPO NOVO DO PARECIS&#10;ESTADO DE MATO GROSSO&#10;"/>
          </v:shape>
        </w:pict>
      </w:r>
      <w:r w:rsidR="000F1CE5" w:rsidRPr="000F1CE5">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7" o:title=""/>
          </v:shape>
          <o:OLEObject Type="Embed" ProgID="CorelDRAW.Graphic.10" ShapeID="_x0000_i1025" DrawAspect="Content" ObjectID="_1621059527" r:id="rId8"/>
        </w:object>
      </w:r>
      <w:r w:rsidR="000F1CE5" w:rsidRPr="000F1CE5">
        <w:rPr>
          <w:rFonts w:ascii="Times New Roman" w:hAnsi="Times New Roman" w:cs="Times New Roman"/>
          <w:sz w:val="24"/>
          <w:szCs w:val="24"/>
        </w:rPr>
        <w:tab/>
      </w:r>
      <w:r w:rsidR="000F1CE5" w:rsidRPr="000F1CE5">
        <w:rPr>
          <w:rFonts w:ascii="Times New Roman" w:hAnsi="Times New Roman" w:cs="Times New Roman"/>
          <w:sz w:val="24"/>
          <w:szCs w:val="24"/>
        </w:rPr>
        <w:tab/>
      </w:r>
      <w:r w:rsidR="000F1CE5" w:rsidRPr="000F1CE5">
        <w:rPr>
          <w:rFonts w:ascii="Times New Roman" w:hAnsi="Times New Roman" w:cs="Times New Roman"/>
          <w:sz w:val="24"/>
          <w:szCs w:val="24"/>
        </w:rPr>
        <w:tab/>
      </w:r>
    </w:p>
    <w:p w:rsidR="000F1CE5" w:rsidRPr="000F1CE5" w:rsidRDefault="000F1CE5" w:rsidP="000F1CE5">
      <w:pPr>
        <w:ind w:right="-380"/>
        <w:jc w:val="both"/>
        <w:rPr>
          <w:rFonts w:ascii="Times New Roman" w:hAnsi="Times New Roman" w:cs="Times New Roman"/>
          <w:sz w:val="24"/>
          <w:szCs w:val="24"/>
        </w:rPr>
      </w:pP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r w:rsidRPr="000F1CE5">
        <w:rPr>
          <w:rFonts w:ascii="Times New Roman" w:hAnsi="Times New Roman" w:cs="Times New Roman"/>
          <w:sz w:val="24"/>
          <w:szCs w:val="24"/>
        </w:rPr>
        <w:tab/>
      </w:r>
    </w:p>
    <w:tbl>
      <w:tblPr>
        <w:tblW w:w="86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9"/>
      </w:tblGrid>
      <w:tr w:rsidR="000F1CE5" w:rsidRPr="000F1CE5" w:rsidTr="00CC2BDE">
        <w:trPr>
          <w:trHeight w:val="505"/>
        </w:trPr>
        <w:tc>
          <w:tcPr>
            <w:tcW w:w="8609" w:type="dxa"/>
            <w:shd w:val="clear" w:color="auto" w:fill="auto"/>
          </w:tcPr>
          <w:p w:rsidR="000F1CE5" w:rsidRPr="000F1CE5" w:rsidRDefault="000F1CE5" w:rsidP="000F1CE5">
            <w:pPr>
              <w:ind w:right="-380"/>
              <w:jc w:val="both"/>
              <w:rPr>
                <w:rFonts w:ascii="Times New Roman" w:hAnsi="Times New Roman" w:cs="Times New Roman"/>
                <w:b/>
                <w:sz w:val="24"/>
                <w:szCs w:val="24"/>
              </w:rPr>
            </w:pPr>
          </w:p>
          <w:p w:rsidR="000F1CE5" w:rsidRPr="000F1CE5" w:rsidRDefault="000F1CE5" w:rsidP="000F1CE5">
            <w:pPr>
              <w:ind w:right="-380"/>
              <w:jc w:val="both"/>
              <w:rPr>
                <w:rFonts w:ascii="Times New Roman" w:hAnsi="Times New Roman" w:cs="Times New Roman"/>
                <w:b/>
                <w:sz w:val="24"/>
                <w:szCs w:val="24"/>
              </w:rPr>
            </w:pPr>
            <w:r w:rsidRPr="000F1CE5">
              <w:rPr>
                <w:rFonts w:ascii="Times New Roman" w:hAnsi="Times New Roman" w:cs="Times New Roman"/>
                <w:b/>
                <w:sz w:val="24"/>
                <w:szCs w:val="24"/>
              </w:rPr>
              <w:t xml:space="preserve">PROJETO DE DECRETO LEGISLATIVO Nº </w:t>
            </w:r>
            <w:r>
              <w:rPr>
                <w:rFonts w:ascii="Times New Roman" w:hAnsi="Times New Roman" w:cs="Times New Roman"/>
                <w:b/>
                <w:sz w:val="24"/>
                <w:szCs w:val="24"/>
              </w:rPr>
              <w:t>015</w:t>
            </w:r>
            <w:r w:rsidR="006A2105">
              <w:rPr>
                <w:rFonts w:ascii="Times New Roman" w:hAnsi="Times New Roman" w:cs="Times New Roman"/>
                <w:b/>
                <w:sz w:val="24"/>
                <w:szCs w:val="24"/>
              </w:rPr>
              <w:t>,</w:t>
            </w:r>
            <w:r w:rsidRPr="000F1CE5">
              <w:rPr>
                <w:rFonts w:ascii="Times New Roman" w:hAnsi="Times New Roman" w:cs="Times New Roman"/>
                <w:b/>
                <w:sz w:val="24"/>
                <w:szCs w:val="24"/>
              </w:rPr>
              <w:t xml:space="preserve"> DE </w:t>
            </w:r>
            <w:r w:rsidR="006A2105">
              <w:rPr>
                <w:rFonts w:ascii="Times New Roman" w:hAnsi="Times New Roman" w:cs="Times New Roman"/>
                <w:b/>
                <w:sz w:val="24"/>
                <w:szCs w:val="24"/>
              </w:rPr>
              <w:t>23 DE MAIO DE 2019.</w:t>
            </w:r>
          </w:p>
          <w:p w:rsidR="000F1CE5" w:rsidRPr="000F1CE5" w:rsidRDefault="000F1CE5" w:rsidP="000F1CE5">
            <w:pPr>
              <w:ind w:right="-380"/>
              <w:jc w:val="both"/>
              <w:rPr>
                <w:rFonts w:ascii="Times New Roman" w:hAnsi="Times New Roman" w:cs="Times New Roman"/>
                <w:b/>
                <w:sz w:val="24"/>
                <w:szCs w:val="24"/>
              </w:rPr>
            </w:pPr>
          </w:p>
        </w:tc>
      </w:tr>
    </w:tbl>
    <w:p w:rsidR="000F1CE5" w:rsidRPr="000F1CE5" w:rsidRDefault="000F1CE5" w:rsidP="000F1CE5">
      <w:pPr>
        <w:pStyle w:val="Ttulo4"/>
        <w:ind w:left="142" w:right="-380" w:hanging="142"/>
        <w:jc w:val="both"/>
        <w:rPr>
          <w:rFonts w:ascii="Times New Roman" w:hAnsi="Times New Roman" w:cs="Times New Roman"/>
          <w:bCs w:val="0"/>
          <w:i w:val="0"/>
          <w:color w:val="auto"/>
          <w:sz w:val="24"/>
          <w:szCs w:val="24"/>
        </w:rPr>
      </w:pPr>
      <w:r w:rsidRPr="000F1CE5">
        <w:rPr>
          <w:rFonts w:ascii="Times New Roman" w:hAnsi="Times New Roman" w:cs="Times New Roman"/>
          <w:bCs w:val="0"/>
          <w:i w:val="0"/>
          <w:color w:val="auto"/>
          <w:sz w:val="24"/>
          <w:szCs w:val="24"/>
        </w:rPr>
        <w:t xml:space="preserve"> </w:t>
      </w:r>
      <w:r w:rsidRPr="000F1CE5">
        <w:rPr>
          <w:rFonts w:ascii="Times New Roman" w:hAnsi="Times New Roman" w:cs="Times New Roman"/>
          <w:bCs w:val="0"/>
          <w:i w:val="0"/>
          <w:color w:val="auto"/>
          <w:sz w:val="24"/>
          <w:szCs w:val="24"/>
        </w:rPr>
        <w:tab/>
      </w:r>
      <w:r w:rsidRPr="000F1CE5">
        <w:rPr>
          <w:rFonts w:ascii="Times New Roman" w:hAnsi="Times New Roman" w:cs="Times New Roman"/>
          <w:i w:val="0"/>
          <w:color w:val="auto"/>
          <w:sz w:val="24"/>
          <w:szCs w:val="24"/>
        </w:rPr>
        <w:t>AUTORIA: COMISSÃO PERMANENTE DE FINANÇAS E ORÇAMENTO.</w:t>
      </w:r>
    </w:p>
    <w:p w:rsidR="000F1CE5" w:rsidRPr="000F1CE5" w:rsidRDefault="000F1CE5" w:rsidP="000F1CE5">
      <w:pPr>
        <w:pStyle w:val="Ttulo4"/>
        <w:ind w:left="142" w:right="-380"/>
        <w:jc w:val="both"/>
        <w:rPr>
          <w:rFonts w:ascii="Times New Roman" w:hAnsi="Times New Roman" w:cs="Times New Roman"/>
          <w:bCs w:val="0"/>
          <w:i w:val="0"/>
          <w:color w:val="auto"/>
          <w:sz w:val="24"/>
          <w:szCs w:val="24"/>
        </w:rPr>
      </w:pPr>
      <w:r w:rsidRPr="000F1CE5">
        <w:rPr>
          <w:rFonts w:ascii="Times New Roman" w:hAnsi="Times New Roman" w:cs="Times New Roman"/>
          <w:i w:val="0"/>
          <w:caps/>
          <w:color w:val="auto"/>
          <w:sz w:val="24"/>
          <w:szCs w:val="24"/>
        </w:rPr>
        <w:t>APROVA AS CONTAS ANUAIS DE GOVERNO DA PREFEITURA MUNICIPAL DE CAMPO NOVO DO PARECIS, RELATIVAS AO EXERCÍCIO FINANCEIRO DE 2017, GESTÃO DO pREFEITO rafael machado.</w:t>
      </w:r>
    </w:p>
    <w:p w:rsidR="000F1CE5" w:rsidRPr="000F1CE5" w:rsidRDefault="000F1CE5" w:rsidP="000F1CE5">
      <w:pPr>
        <w:ind w:left="142" w:right="-380" w:hanging="142"/>
        <w:jc w:val="both"/>
        <w:rPr>
          <w:rFonts w:ascii="Times New Roman" w:hAnsi="Times New Roman" w:cs="Times New Roman"/>
          <w:b/>
          <w:sz w:val="24"/>
          <w:szCs w:val="24"/>
        </w:rPr>
      </w:pPr>
      <w:r w:rsidRPr="000F1CE5">
        <w:rPr>
          <w:rFonts w:ascii="Times New Roman" w:hAnsi="Times New Roman" w:cs="Times New Roman"/>
          <w:b/>
          <w:sz w:val="24"/>
          <w:szCs w:val="24"/>
        </w:rPr>
        <w:t xml:space="preserve">  </w:t>
      </w:r>
    </w:p>
    <w:p w:rsidR="000F1CE5" w:rsidRPr="000F1CE5" w:rsidRDefault="000F1CE5" w:rsidP="000F1CE5">
      <w:pPr>
        <w:ind w:left="142" w:right="-380"/>
        <w:jc w:val="both"/>
        <w:rPr>
          <w:rFonts w:ascii="Times New Roman" w:hAnsi="Times New Roman" w:cs="Times New Roman"/>
          <w:sz w:val="24"/>
          <w:szCs w:val="24"/>
        </w:rPr>
      </w:pPr>
      <w:r w:rsidRPr="000F1CE5">
        <w:rPr>
          <w:rFonts w:ascii="Times New Roman" w:hAnsi="Times New Roman" w:cs="Times New Roman"/>
          <w:sz w:val="24"/>
          <w:szCs w:val="24"/>
        </w:rPr>
        <w:t>A COMISSÃO PERMANENTE DE FINANÇAS E ORÇAMENTO da Câmara Municipal de Campo Novo do Parecis/MT, nos termos do art. 224 do Regimento Interno da Casa, vem submeter a este egrégio Plenário o seguinte Projeto de DECRETO LEGISLATIVO:</w:t>
      </w:r>
    </w:p>
    <w:p w:rsidR="000F1CE5" w:rsidRPr="000F1CE5" w:rsidRDefault="000F1CE5" w:rsidP="000F1CE5">
      <w:pPr>
        <w:ind w:left="142" w:right="-380"/>
        <w:jc w:val="both"/>
        <w:rPr>
          <w:rFonts w:ascii="Times New Roman" w:hAnsi="Times New Roman" w:cs="Times New Roman"/>
          <w:sz w:val="24"/>
          <w:szCs w:val="24"/>
        </w:rPr>
      </w:pPr>
      <w:r w:rsidRPr="000F1CE5">
        <w:rPr>
          <w:rFonts w:ascii="Times New Roman" w:hAnsi="Times New Roman" w:cs="Times New Roman"/>
          <w:sz w:val="24"/>
          <w:szCs w:val="24"/>
        </w:rPr>
        <w:tab/>
      </w:r>
      <w:r w:rsidRPr="000F1CE5">
        <w:rPr>
          <w:rFonts w:ascii="Times New Roman" w:hAnsi="Times New Roman" w:cs="Times New Roman"/>
          <w:sz w:val="24"/>
          <w:szCs w:val="24"/>
        </w:rPr>
        <w:tab/>
      </w:r>
    </w:p>
    <w:p w:rsidR="000F1CE5" w:rsidRPr="000F1CE5" w:rsidRDefault="000F1CE5" w:rsidP="000F1CE5">
      <w:pPr>
        <w:ind w:left="142" w:right="-380" w:firstLine="1274"/>
        <w:jc w:val="both"/>
        <w:rPr>
          <w:rFonts w:ascii="Times New Roman" w:hAnsi="Times New Roman" w:cs="Times New Roman"/>
          <w:sz w:val="24"/>
          <w:szCs w:val="24"/>
        </w:rPr>
      </w:pPr>
      <w:r w:rsidRPr="000F1CE5">
        <w:rPr>
          <w:rFonts w:ascii="Times New Roman" w:hAnsi="Times New Roman" w:cs="Times New Roman"/>
          <w:b/>
          <w:bCs/>
          <w:sz w:val="24"/>
          <w:szCs w:val="24"/>
        </w:rPr>
        <w:t>Art. 1º</w:t>
      </w:r>
      <w:r w:rsidRPr="000F1CE5">
        <w:rPr>
          <w:rFonts w:ascii="Times New Roman" w:hAnsi="Times New Roman" w:cs="Times New Roman"/>
          <w:sz w:val="24"/>
          <w:szCs w:val="24"/>
        </w:rPr>
        <w:t>. Ficam aprovadas as Contas Anuais de Governo da Prefeitura Municipal de Campo Novo do Parecis/MT, relativas ao exercício financeiro de 2017, gestão do Prefeito Municipal Sr. Rafael Machado, acompanhando o parecer prévio nº 57/2018, do Tribunal de Contas do Estado de Mato Grosso.</w:t>
      </w:r>
    </w:p>
    <w:p w:rsidR="000F1CE5" w:rsidRPr="000F1CE5" w:rsidRDefault="000F1CE5" w:rsidP="000F1CE5">
      <w:pPr>
        <w:pStyle w:val="Recuodecorpodetexto2"/>
        <w:ind w:left="142" w:right="-380" w:firstLine="1340"/>
        <w:rPr>
          <w:b/>
          <w:bCs/>
          <w:szCs w:val="24"/>
        </w:rPr>
      </w:pPr>
    </w:p>
    <w:p w:rsidR="000F1CE5" w:rsidRPr="000F1CE5" w:rsidRDefault="000F1CE5" w:rsidP="000F1CE5">
      <w:pPr>
        <w:pStyle w:val="Recuodecorpodetexto2"/>
        <w:ind w:left="142" w:right="-380" w:firstLine="1276"/>
        <w:rPr>
          <w:szCs w:val="24"/>
        </w:rPr>
      </w:pPr>
      <w:r w:rsidRPr="000F1CE5">
        <w:rPr>
          <w:b/>
          <w:bCs/>
          <w:szCs w:val="24"/>
        </w:rPr>
        <w:t>Art. 2</w:t>
      </w:r>
      <w:r w:rsidRPr="000F1CE5">
        <w:rPr>
          <w:szCs w:val="24"/>
        </w:rPr>
        <w:t>º. Este Decreto Legislativo entra em vigor na data de sua publicação.</w:t>
      </w:r>
    </w:p>
    <w:p w:rsidR="000F1CE5" w:rsidRPr="000F1CE5" w:rsidRDefault="000F1CE5" w:rsidP="000F1CE5">
      <w:pPr>
        <w:pStyle w:val="Recuodecorpodetexto2"/>
        <w:ind w:left="142" w:right="-380" w:firstLine="1276"/>
        <w:rPr>
          <w:b/>
          <w:bCs/>
          <w:szCs w:val="24"/>
        </w:rPr>
      </w:pPr>
    </w:p>
    <w:p w:rsidR="000F1CE5" w:rsidRPr="000F1CE5" w:rsidRDefault="000F1CE5" w:rsidP="000F1CE5">
      <w:pPr>
        <w:pStyle w:val="Recuodecorpodetexto2"/>
        <w:ind w:left="1418" w:right="-380" w:firstLine="0"/>
        <w:rPr>
          <w:szCs w:val="24"/>
        </w:rPr>
      </w:pPr>
    </w:p>
    <w:p w:rsidR="000F1CE5" w:rsidRDefault="000F1CE5" w:rsidP="000F1CE5">
      <w:pPr>
        <w:pStyle w:val="Recuodecorpodetexto2"/>
        <w:ind w:left="1418" w:right="-380" w:firstLine="0"/>
        <w:rPr>
          <w:szCs w:val="24"/>
        </w:rPr>
      </w:pPr>
      <w:r w:rsidRPr="000F1CE5">
        <w:rPr>
          <w:szCs w:val="24"/>
        </w:rPr>
        <w:t xml:space="preserve">Sala das Comissões, em </w:t>
      </w:r>
      <w:r w:rsidR="006A2105">
        <w:rPr>
          <w:szCs w:val="24"/>
        </w:rPr>
        <w:t>23 de maio de 2019.</w:t>
      </w:r>
    </w:p>
    <w:p w:rsidR="000F1CE5" w:rsidRPr="000F1CE5" w:rsidRDefault="000F1CE5" w:rsidP="000F1CE5">
      <w:pPr>
        <w:pStyle w:val="Recuodecorpodetexto2"/>
        <w:ind w:left="1418" w:right="-380" w:firstLine="0"/>
        <w:rPr>
          <w:szCs w:val="24"/>
        </w:rPr>
      </w:pPr>
    </w:p>
    <w:p w:rsidR="000F1CE5" w:rsidRDefault="000F1CE5" w:rsidP="000F1CE5">
      <w:pPr>
        <w:ind w:right="-380"/>
        <w:jc w:val="both"/>
        <w:rPr>
          <w:rFonts w:ascii="Times New Roman" w:hAnsi="Times New Roman" w:cs="Times New Roman"/>
          <w:b/>
          <w:sz w:val="24"/>
          <w:szCs w:val="24"/>
        </w:rPr>
      </w:pPr>
    </w:p>
    <w:p w:rsidR="006A2105" w:rsidRPr="000F1CE5" w:rsidRDefault="006A2105" w:rsidP="000F1CE5">
      <w:pPr>
        <w:ind w:right="-380"/>
        <w:jc w:val="both"/>
        <w:rPr>
          <w:rFonts w:ascii="Times New Roman" w:hAnsi="Times New Roman" w:cs="Times New Roman"/>
          <w:b/>
          <w:sz w:val="24"/>
          <w:szCs w:val="24"/>
        </w:rPr>
      </w:pPr>
    </w:p>
    <w:p w:rsidR="000F1CE5" w:rsidRPr="000F1CE5" w:rsidRDefault="000F1CE5" w:rsidP="0043417E">
      <w:pPr>
        <w:ind w:right="-380"/>
        <w:jc w:val="center"/>
        <w:rPr>
          <w:rFonts w:ascii="Times New Roman" w:hAnsi="Times New Roman" w:cs="Times New Roman"/>
          <w:b/>
          <w:sz w:val="24"/>
          <w:szCs w:val="24"/>
          <w:u w:val="single"/>
        </w:rPr>
      </w:pPr>
      <w:r w:rsidRPr="000F1CE5">
        <w:rPr>
          <w:rFonts w:ascii="Times New Roman" w:hAnsi="Times New Roman" w:cs="Times New Roman"/>
          <w:b/>
          <w:sz w:val="24"/>
          <w:szCs w:val="24"/>
          <w:u w:val="single"/>
        </w:rPr>
        <w:t>Comissão de Finanças e Orçamento</w:t>
      </w:r>
    </w:p>
    <w:p w:rsidR="000F1CE5" w:rsidRPr="000F1CE5" w:rsidRDefault="000F1CE5" w:rsidP="0043417E">
      <w:pPr>
        <w:ind w:right="-380"/>
        <w:jc w:val="center"/>
        <w:rPr>
          <w:rFonts w:ascii="Times New Roman" w:hAnsi="Times New Roman" w:cs="Times New Roman"/>
          <w:b/>
          <w:sz w:val="24"/>
          <w:szCs w:val="24"/>
        </w:rPr>
      </w:pPr>
    </w:p>
    <w:p w:rsidR="000F1CE5" w:rsidRPr="000F1CE5" w:rsidRDefault="000F1CE5" w:rsidP="0043417E">
      <w:pPr>
        <w:ind w:right="-380"/>
        <w:jc w:val="center"/>
        <w:rPr>
          <w:rFonts w:ascii="Times New Roman" w:hAnsi="Times New Roman" w:cs="Times New Roman"/>
          <w:b/>
          <w:sz w:val="24"/>
          <w:szCs w:val="24"/>
        </w:rPr>
      </w:pPr>
    </w:p>
    <w:p w:rsidR="000F1CE5" w:rsidRPr="000F1CE5" w:rsidRDefault="000F1CE5" w:rsidP="0043417E">
      <w:pPr>
        <w:ind w:right="-380"/>
        <w:jc w:val="center"/>
        <w:rPr>
          <w:rFonts w:ascii="Times New Roman" w:hAnsi="Times New Roman" w:cs="Times New Roman"/>
          <w:b/>
          <w:sz w:val="24"/>
          <w:szCs w:val="24"/>
        </w:rPr>
      </w:pPr>
    </w:p>
    <w:p w:rsidR="000F1CE5" w:rsidRPr="000F1CE5" w:rsidRDefault="0043417E" w:rsidP="0043417E">
      <w:pPr>
        <w:ind w:right="-380"/>
        <w:jc w:val="center"/>
        <w:rPr>
          <w:rFonts w:ascii="Times New Roman" w:hAnsi="Times New Roman" w:cs="Times New Roman"/>
          <w:sz w:val="24"/>
          <w:szCs w:val="24"/>
        </w:rPr>
      </w:pPr>
      <w:r>
        <w:rPr>
          <w:rFonts w:ascii="Times New Roman" w:hAnsi="Times New Roman" w:cs="Times New Roman"/>
          <w:b/>
          <w:sz w:val="24"/>
          <w:szCs w:val="24"/>
        </w:rPr>
        <w:t xml:space="preserve">VER. </w:t>
      </w:r>
      <w:r w:rsidR="000F1CE5" w:rsidRPr="000F1CE5">
        <w:rPr>
          <w:rFonts w:ascii="Times New Roman" w:hAnsi="Times New Roman" w:cs="Times New Roman"/>
          <w:b/>
          <w:sz w:val="24"/>
          <w:szCs w:val="24"/>
        </w:rPr>
        <w:t xml:space="preserve">DIONARDO MENDES DA CONCEIÇÃO - </w:t>
      </w:r>
      <w:r w:rsidR="000F1CE5" w:rsidRPr="000F1CE5">
        <w:rPr>
          <w:rFonts w:ascii="Times New Roman" w:hAnsi="Times New Roman" w:cs="Times New Roman"/>
          <w:sz w:val="24"/>
          <w:szCs w:val="24"/>
        </w:rPr>
        <w:t>Presidente</w:t>
      </w:r>
    </w:p>
    <w:p w:rsidR="000F1CE5" w:rsidRPr="000F1CE5" w:rsidRDefault="000F1CE5" w:rsidP="0043417E">
      <w:pPr>
        <w:ind w:right="-380"/>
        <w:jc w:val="center"/>
        <w:rPr>
          <w:rFonts w:ascii="Times New Roman" w:hAnsi="Times New Roman" w:cs="Times New Roman"/>
          <w:b/>
          <w:sz w:val="24"/>
          <w:szCs w:val="24"/>
        </w:rPr>
      </w:pPr>
    </w:p>
    <w:p w:rsidR="000F1CE5" w:rsidRPr="000F1CE5" w:rsidRDefault="000F1CE5" w:rsidP="0043417E">
      <w:pPr>
        <w:ind w:right="-380"/>
        <w:jc w:val="center"/>
        <w:rPr>
          <w:rFonts w:ascii="Times New Roman" w:hAnsi="Times New Roman" w:cs="Times New Roman"/>
          <w:b/>
          <w:sz w:val="24"/>
          <w:szCs w:val="24"/>
        </w:rPr>
      </w:pPr>
    </w:p>
    <w:p w:rsidR="000F1CE5" w:rsidRPr="000F1CE5" w:rsidRDefault="0043417E" w:rsidP="0043417E">
      <w:pPr>
        <w:ind w:right="-380"/>
        <w:jc w:val="center"/>
        <w:rPr>
          <w:rFonts w:ascii="Times New Roman" w:hAnsi="Times New Roman" w:cs="Times New Roman"/>
          <w:b/>
          <w:sz w:val="24"/>
          <w:szCs w:val="24"/>
        </w:rPr>
      </w:pPr>
      <w:r>
        <w:rPr>
          <w:rFonts w:ascii="Times New Roman" w:hAnsi="Times New Roman" w:cs="Times New Roman"/>
          <w:b/>
          <w:sz w:val="24"/>
          <w:szCs w:val="24"/>
        </w:rPr>
        <w:t xml:space="preserve">VER. </w:t>
      </w:r>
      <w:r w:rsidR="000F1CE5" w:rsidRPr="000F1CE5">
        <w:rPr>
          <w:rFonts w:ascii="Times New Roman" w:hAnsi="Times New Roman" w:cs="Times New Roman"/>
          <w:b/>
          <w:sz w:val="24"/>
          <w:szCs w:val="24"/>
        </w:rPr>
        <w:t xml:space="preserve">MÁRCIO CLEI FERREIRA DO NASCIMENTO - </w:t>
      </w:r>
      <w:r w:rsidR="000F1CE5" w:rsidRPr="000F1CE5">
        <w:rPr>
          <w:rFonts w:ascii="Times New Roman" w:hAnsi="Times New Roman" w:cs="Times New Roman"/>
          <w:sz w:val="24"/>
          <w:szCs w:val="24"/>
        </w:rPr>
        <w:t>Vice-Presidente</w:t>
      </w:r>
    </w:p>
    <w:p w:rsidR="000F1CE5" w:rsidRPr="000F1CE5" w:rsidRDefault="000F1CE5" w:rsidP="0043417E">
      <w:pPr>
        <w:ind w:right="-380"/>
        <w:jc w:val="center"/>
        <w:rPr>
          <w:rFonts w:ascii="Times New Roman" w:hAnsi="Times New Roman" w:cs="Times New Roman"/>
          <w:sz w:val="24"/>
          <w:szCs w:val="24"/>
        </w:rPr>
      </w:pPr>
    </w:p>
    <w:p w:rsidR="000F1CE5" w:rsidRPr="000F1CE5" w:rsidRDefault="000F1CE5" w:rsidP="0043417E">
      <w:pPr>
        <w:ind w:right="-380"/>
        <w:jc w:val="center"/>
        <w:rPr>
          <w:rFonts w:ascii="Times New Roman" w:hAnsi="Times New Roman" w:cs="Times New Roman"/>
          <w:sz w:val="24"/>
          <w:szCs w:val="24"/>
        </w:rPr>
      </w:pPr>
    </w:p>
    <w:p w:rsidR="000F1CE5" w:rsidRPr="000F1CE5" w:rsidRDefault="0043417E" w:rsidP="0043417E">
      <w:pPr>
        <w:ind w:right="-380"/>
        <w:jc w:val="center"/>
        <w:rPr>
          <w:rFonts w:ascii="Times New Roman" w:hAnsi="Times New Roman" w:cs="Times New Roman"/>
          <w:b/>
          <w:sz w:val="24"/>
          <w:szCs w:val="24"/>
        </w:rPr>
      </w:pPr>
      <w:r>
        <w:rPr>
          <w:rFonts w:ascii="Times New Roman" w:hAnsi="Times New Roman" w:cs="Times New Roman"/>
          <w:b/>
          <w:sz w:val="24"/>
          <w:szCs w:val="24"/>
        </w:rPr>
        <w:t xml:space="preserve">VER. </w:t>
      </w:r>
      <w:r w:rsidR="000F1CE5" w:rsidRPr="000F1CE5">
        <w:rPr>
          <w:rFonts w:ascii="Times New Roman" w:hAnsi="Times New Roman" w:cs="Times New Roman"/>
          <w:b/>
          <w:sz w:val="24"/>
          <w:szCs w:val="24"/>
        </w:rPr>
        <w:t xml:space="preserve">ROSICLÉA HEINZEN COLOMBO - </w:t>
      </w:r>
      <w:r w:rsidR="000F1CE5" w:rsidRPr="000F1CE5">
        <w:rPr>
          <w:rFonts w:ascii="Times New Roman" w:hAnsi="Times New Roman" w:cs="Times New Roman"/>
          <w:sz w:val="24"/>
          <w:szCs w:val="24"/>
        </w:rPr>
        <w:t>Membro</w:t>
      </w:r>
    </w:p>
    <w:p w:rsidR="000F1CE5" w:rsidRPr="000F1CE5" w:rsidRDefault="000F1CE5" w:rsidP="0043417E">
      <w:pPr>
        <w:ind w:right="-380"/>
        <w:jc w:val="center"/>
        <w:rPr>
          <w:rFonts w:ascii="Times New Roman" w:hAnsi="Times New Roman" w:cs="Times New Roman"/>
          <w:sz w:val="24"/>
          <w:szCs w:val="24"/>
        </w:rPr>
      </w:pPr>
    </w:p>
    <w:p w:rsidR="000F1CE5" w:rsidRDefault="000F1CE5" w:rsidP="000F1CE5">
      <w:pPr>
        <w:ind w:right="-380"/>
        <w:jc w:val="both"/>
        <w:rPr>
          <w:rFonts w:ascii="Times New Roman" w:hAnsi="Times New Roman" w:cs="Times New Roman"/>
          <w:sz w:val="24"/>
          <w:szCs w:val="24"/>
        </w:rPr>
      </w:pPr>
    </w:p>
    <w:p w:rsidR="000F1CE5" w:rsidRDefault="000F1CE5" w:rsidP="000F1CE5">
      <w:pPr>
        <w:ind w:right="-380"/>
        <w:jc w:val="both"/>
        <w:rPr>
          <w:rFonts w:ascii="Times New Roman" w:hAnsi="Times New Roman" w:cs="Times New Roman"/>
          <w:sz w:val="24"/>
          <w:szCs w:val="24"/>
        </w:rPr>
      </w:pPr>
    </w:p>
    <w:p w:rsid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center"/>
        <w:rPr>
          <w:rFonts w:ascii="Times New Roman" w:hAnsi="Times New Roman" w:cs="Times New Roman"/>
          <w:b/>
          <w:sz w:val="24"/>
          <w:szCs w:val="24"/>
          <w:u w:val="single"/>
        </w:rPr>
      </w:pPr>
      <w:r w:rsidRPr="000F1CE5">
        <w:rPr>
          <w:rFonts w:ascii="Times New Roman" w:hAnsi="Times New Roman" w:cs="Times New Roman"/>
          <w:b/>
          <w:sz w:val="24"/>
          <w:szCs w:val="24"/>
          <w:u w:val="single"/>
        </w:rPr>
        <w:t>JUSTIFICATIVA</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firstLine="708"/>
        <w:jc w:val="both"/>
        <w:rPr>
          <w:rFonts w:ascii="Times New Roman" w:hAnsi="Times New Roman" w:cs="Times New Roman"/>
          <w:sz w:val="24"/>
          <w:szCs w:val="24"/>
        </w:rPr>
      </w:pPr>
      <w:r w:rsidRPr="000F1CE5">
        <w:rPr>
          <w:rFonts w:ascii="Times New Roman" w:hAnsi="Times New Roman" w:cs="Times New Roman"/>
          <w:sz w:val="24"/>
          <w:szCs w:val="24"/>
        </w:rPr>
        <w:t>O Tribunal de Contas do Estado de Mato Grosso, depois de cumpridas as formalidades legais, emitiu o parecer prévio nº 57/2018 – TP, favorável à aprovação das referidas contas do Município. O Ministério Público de Contas, por meio do Parecer nº 4.809/2018 opinou pela emissão de parecer prévio contrário à aprovação das Contas Anuais de Governo.</w:t>
      </w:r>
    </w:p>
    <w:p w:rsidR="000F1CE5" w:rsidRPr="000F1CE5" w:rsidRDefault="000F1CE5" w:rsidP="000F1CE5">
      <w:pPr>
        <w:ind w:right="-380" w:firstLine="708"/>
        <w:jc w:val="both"/>
        <w:rPr>
          <w:rFonts w:ascii="Times New Roman" w:hAnsi="Times New Roman" w:cs="Times New Roman"/>
          <w:sz w:val="24"/>
          <w:szCs w:val="24"/>
        </w:rPr>
      </w:pPr>
      <w:r w:rsidRPr="000F1CE5">
        <w:rPr>
          <w:rFonts w:ascii="Times New Roman" w:hAnsi="Times New Roman" w:cs="Times New Roman"/>
          <w:sz w:val="24"/>
          <w:szCs w:val="24"/>
        </w:rPr>
        <w:t>Considerando o constante no parecer prévio 57/2018, os Vereadores integrantes da Comissão de Finanças e Orçamento, após análise das contas anuais de governo apresentadas a esta Casa de Leis pelo Tribunal de Contas do Estado de Mato Grosso, decidiram pela aprovação das contas anuais de governo do exercício de 2017, gestão do prefeito Rafael Machado, com recomendações.</w:t>
      </w:r>
    </w:p>
    <w:p w:rsidR="000F1CE5" w:rsidRPr="000F1CE5" w:rsidRDefault="000F1CE5" w:rsidP="000F1CE5">
      <w:pPr>
        <w:ind w:right="-380" w:firstLine="708"/>
        <w:jc w:val="both"/>
        <w:rPr>
          <w:rFonts w:ascii="Times New Roman" w:hAnsi="Times New Roman" w:cs="Times New Roman"/>
          <w:sz w:val="24"/>
          <w:szCs w:val="24"/>
        </w:rPr>
      </w:pPr>
    </w:p>
    <w:p w:rsidR="000F1CE5" w:rsidRPr="000F1CE5" w:rsidRDefault="000F1CE5" w:rsidP="000F1CE5">
      <w:pPr>
        <w:ind w:right="-380" w:firstLine="708"/>
        <w:jc w:val="both"/>
        <w:rPr>
          <w:rFonts w:ascii="Times New Roman" w:hAnsi="Times New Roman" w:cs="Times New Roman"/>
          <w:sz w:val="24"/>
          <w:szCs w:val="24"/>
        </w:rPr>
      </w:pPr>
      <w:r w:rsidRPr="000F1CE5">
        <w:rPr>
          <w:rFonts w:ascii="Times New Roman" w:hAnsi="Times New Roman" w:cs="Times New Roman"/>
          <w:sz w:val="24"/>
          <w:szCs w:val="24"/>
        </w:rPr>
        <w:t>Do parecer final destacam-se as seguintes informações:</w:t>
      </w:r>
    </w:p>
    <w:p w:rsidR="000F1CE5" w:rsidRPr="000F1CE5" w:rsidRDefault="000F1CE5" w:rsidP="000F1CE5">
      <w:pPr>
        <w:ind w:right="-380" w:firstLine="708"/>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r>
        <w:rPr>
          <w:rFonts w:ascii="Times New Roman" w:hAnsi="Times New Roman" w:cs="Times New Roman"/>
          <w:sz w:val="24"/>
          <w:szCs w:val="24"/>
        </w:rPr>
        <w:tab/>
      </w:r>
      <w:r w:rsidRPr="000F1CE5">
        <w:rPr>
          <w:rFonts w:ascii="Times New Roman" w:hAnsi="Times New Roman" w:cs="Times New Roman"/>
          <w:sz w:val="24"/>
          <w:szCs w:val="24"/>
        </w:rPr>
        <w:t>1. O Município atendeu aos limites constitucionais e legais, conforme abaixo enumerado:</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0"/>
          <w:numId w:val="1"/>
        </w:numPr>
        <w:ind w:right="-380"/>
        <w:jc w:val="both"/>
        <w:rPr>
          <w:rFonts w:ascii="Times New Roman" w:hAnsi="Times New Roman" w:cs="Times New Roman"/>
          <w:sz w:val="24"/>
          <w:szCs w:val="24"/>
        </w:rPr>
      </w:pPr>
      <w:r w:rsidRPr="000F1CE5">
        <w:rPr>
          <w:rFonts w:ascii="Times New Roman" w:hAnsi="Times New Roman" w:cs="Times New Roman"/>
          <w:sz w:val="24"/>
          <w:szCs w:val="24"/>
        </w:rPr>
        <w:t>A despesa total com pessoal do Executivo Municipal foi de 51,91% do total da receita corrente líquida, não ultrapassando o limite de 54% (art. 20 da Lei Complementar 101/2000), porém o Município encontra-se no limite prudencial;</w:t>
      </w:r>
    </w:p>
    <w:p w:rsidR="000F1CE5" w:rsidRPr="000F1CE5" w:rsidRDefault="000F1CE5" w:rsidP="000F1CE5">
      <w:pPr>
        <w:numPr>
          <w:ilvl w:val="0"/>
          <w:numId w:val="1"/>
        </w:numPr>
        <w:ind w:right="-380"/>
        <w:jc w:val="both"/>
        <w:rPr>
          <w:rFonts w:ascii="Times New Roman" w:hAnsi="Times New Roman" w:cs="Times New Roman"/>
          <w:sz w:val="24"/>
          <w:szCs w:val="24"/>
        </w:rPr>
      </w:pPr>
      <w:r w:rsidRPr="000F1CE5">
        <w:rPr>
          <w:rFonts w:ascii="Times New Roman" w:hAnsi="Times New Roman" w:cs="Times New Roman"/>
          <w:sz w:val="24"/>
          <w:szCs w:val="24"/>
        </w:rPr>
        <w:t>A despesa total com pessoal do Legislativo Municipal ficou em 2,32%, não ultrapassando o máximo de 6% (art. 20 da Lei Complementar 101/2000);</w:t>
      </w:r>
    </w:p>
    <w:p w:rsidR="000F1CE5" w:rsidRPr="000F1CE5" w:rsidRDefault="000F1CE5" w:rsidP="000F1CE5">
      <w:pPr>
        <w:numPr>
          <w:ilvl w:val="0"/>
          <w:numId w:val="1"/>
        </w:numPr>
        <w:ind w:right="-380"/>
        <w:jc w:val="both"/>
        <w:rPr>
          <w:rFonts w:ascii="Times New Roman" w:hAnsi="Times New Roman" w:cs="Times New Roman"/>
          <w:sz w:val="24"/>
          <w:szCs w:val="24"/>
        </w:rPr>
      </w:pPr>
      <w:r w:rsidRPr="000F1CE5">
        <w:rPr>
          <w:rFonts w:ascii="Times New Roman" w:hAnsi="Times New Roman" w:cs="Times New Roman"/>
          <w:sz w:val="24"/>
          <w:szCs w:val="24"/>
        </w:rPr>
        <w:t>O Município aplicou na manutenção e no desenvolvimento do ensino o equivalente a 34,57%, atendendo assim ao limite mínimo de 25% conforme art. 212 da Constituição Federal;</w:t>
      </w:r>
    </w:p>
    <w:p w:rsidR="000F1CE5" w:rsidRPr="000F1CE5" w:rsidRDefault="000F1CE5" w:rsidP="000F1CE5">
      <w:pPr>
        <w:numPr>
          <w:ilvl w:val="0"/>
          <w:numId w:val="1"/>
        </w:numPr>
        <w:ind w:right="-380"/>
        <w:jc w:val="both"/>
        <w:rPr>
          <w:rFonts w:ascii="Times New Roman" w:hAnsi="Times New Roman" w:cs="Times New Roman"/>
          <w:sz w:val="24"/>
          <w:szCs w:val="24"/>
        </w:rPr>
      </w:pPr>
      <w:r w:rsidRPr="000F1CE5">
        <w:rPr>
          <w:rFonts w:ascii="Times New Roman" w:hAnsi="Times New Roman" w:cs="Times New Roman"/>
          <w:sz w:val="24"/>
          <w:szCs w:val="24"/>
        </w:rPr>
        <w:t>O Município aplicou na valorização e remuneração do magistério da educação básica pública 91,22% da receita de retorno do FUNDEB, atendendo o limite mínimo de 60%, conforme legislação vigente (art. 7º da Lei 9.424/1996 e art. 60, § 5º, do ADCT);</w:t>
      </w:r>
    </w:p>
    <w:p w:rsidR="000F1CE5" w:rsidRPr="000F1CE5" w:rsidRDefault="000F1CE5" w:rsidP="000F1CE5">
      <w:pPr>
        <w:numPr>
          <w:ilvl w:val="0"/>
          <w:numId w:val="1"/>
        </w:numPr>
        <w:ind w:right="-380"/>
        <w:jc w:val="both"/>
        <w:rPr>
          <w:rFonts w:ascii="Times New Roman" w:hAnsi="Times New Roman" w:cs="Times New Roman"/>
          <w:sz w:val="24"/>
          <w:szCs w:val="24"/>
        </w:rPr>
      </w:pPr>
      <w:r w:rsidRPr="000F1CE5">
        <w:rPr>
          <w:rFonts w:ascii="Times New Roman" w:hAnsi="Times New Roman" w:cs="Times New Roman"/>
          <w:sz w:val="24"/>
          <w:szCs w:val="24"/>
        </w:rPr>
        <w:t>O Município aplicou nas ações e nos serviços públicos de saúde o equivalente a 32,23%, respeitando assim o limite mínimo de 15% conforme determina a Constituição Federal (art. 77, III, do ADCT);</w:t>
      </w:r>
    </w:p>
    <w:p w:rsidR="000F1CE5" w:rsidRPr="000F1CE5" w:rsidRDefault="000F1CE5" w:rsidP="000F1CE5">
      <w:pPr>
        <w:numPr>
          <w:ilvl w:val="0"/>
          <w:numId w:val="1"/>
        </w:numPr>
        <w:ind w:right="-380"/>
        <w:jc w:val="both"/>
        <w:rPr>
          <w:rFonts w:ascii="Times New Roman" w:hAnsi="Times New Roman" w:cs="Times New Roman"/>
          <w:sz w:val="24"/>
          <w:szCs w:val="24"/>
        </w:rPr>
      </w:pPr>
      <w:r w:rsidRPr="000F1CE5">
        <w:rPr>
          <w:rFonts w:ascii="Times New Roman" w:hAnsi="Times New Roman" w:cs="Times New Roman"/>
          <w:sz w:val="24"/>
          <w:szCs w:val="24"/>
        </w:rPr>
        <w:t>O Poder Executivo repassou para o Poder Legislativo o equivalente a 5,80% da receita base referente ao exercício do ano de 2016, assegurando assim o cumprimento do limite máximo de 7% estabelecido no art. 29-A da Constituição Federal.</w:t>
      </w:r>
    </w:p>
    <w:p w:rsidR="000F1CE5" w:rsidRPr="000F1CE5" w:rsidRDefault="000F1CE5" w:rsidP="000F1CE5">
      <w:pPr>
        <w:ind w:left="720" w:right="-380"/>
        <w:jc w:val="both"/>
        <w:rPr>
          <w:rFonts w:ascii="Times New Roman" w:hAnsi="Times New Roman" w:cs="Times New Roman"/>
          <w:sz w:val="24"/>
          <w:szCs w:val="24"/>
        </w:rPr>
      </w:pPr>
    </w:p>
    <w:p w:rsidR="000F1CE5" w:rsidRPr="000F1CE5" w:rsidRDefault="000F1CE5" w:rsidP="000F1CE5">
      <w:pPr>
        <w:ind w:right="-380" w:firstLine="720"/>
        <w:jc w:val="both"/>
        <w:rPr>
          <w:rFonts w:ascii="Times New Roman" w:hAnsi="Times New Roman" w:cs="Times New Roman"/>
          <w:sz w:val="24"/>
          <w:szCs w:val="24"/>
        </w:rPr>
      </w:pPr>
      <w:r w:rsidRPr="000F1CE5">
        <w:rPr>
          <w:rFonts w:ascii="Times New Roman" w:hAnsi="Times New Roman" w:cs="Times New Roman"/>
          <w:sz w:val="24"/>
          <w:szCs w:val="24"/>
        </w:rPr>
        <w:t xml:space="preserve">2. Considerando o constante no referido parecer prévio e, entendendo serem procedentes os apontamentos apresentados pelo Tribunal de Contas do Estado, </w:t>
      </w:r>
      <w:r w:rsidRPr="000F1CE5">
        <w:rPr>
          <w:rFonts w:ascii="Times New Roman" w:hAnsi="Times New Roman" w:cs="Times New Roman"/>
          <w:sz w:val="24"/>
          <w:szCs w:val="24"/>
          <w:u w:val="single"/>
        </w:rPr>
        <w:t xml:space="preserve">esta Comissão solicita à presidência da Câmara Municipal o encaminhamento de expediente </w:t>
      </w:r>
      <w:r w:rsidRPr="000F1CE5">
        <w:rPr>
          <w:rFonts w:ascii="Times New Roman" w:hAnsi="Times New Roman" w:cs="Times New Roman"/>
          <w:sz w:val="24"/>
          <w:szCs w:val="24"/>
          <w:u w:val="single"/>
        </w:rPr>
        <w:lastRenderedPageBreak/>
        <w:t>recomendatório ao Chefe do Poder Executivo Municipal, o Prefeito - Sr. Rafael Machado, para que adote as providências necessárias para sanar as seguintes situações apontadas:</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0"/>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Realização do acompanhamento efetivo e pleno da receita, mês a mês, de modo a saber se está sendo incrementada ou não, em confronto com as despesas que estão sendo realizadas e suportadas pelos créditos adicionais autorizados, e que estes apenas sejam abertos se existirem recursos disponíveis para tanto, conforme legislação;</w:t>
      </w:r>
    </w:p>
    <w:p w:rsidR="000F1CE5" w:rsidRPr="000F1CE5" w:rsidRDefault="000F1CE5" w:rsidP="000F1CE5">
      <w:pPr>
        <w:ind w:left="720" w:right="-380"/>
        <w:jc w:val="both"/>
        <w:rPr>
          <w:rFonts w:ascii="Times New Roman" w:hAnsi="Times New Roman" w:cs="Times New Roman"/>
          <w:sz w:val="24"/>
          <w:szCs w:val="24"/>
        </w:rPr>
      </w:pPr>
    </w:p>
    <w:p w:rsidR="000F1CE5" w:rsidRPr="000F1CE5" w:rsidRDefault="000F1CE5" w:rsidP="000F1CE5">
      <w:pPr>
        <w:numPr>
          <w:ilvl w:val="0"/>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Aplique a Resolução de Consulta 19/2017 e observe as vedações do artigo 22, parágrafo único, da Lei Complementar 101/2000 e mantenha o montante de despesa total com pessoal do Executivo Municipal abaixo do limite prudencial;</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0"/>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Promoção do planejamento e da execução dos programas de governo, realizando um planejamento criterioso, que tenha por base a realidade e as necessidades da população do município, visando a uma mudança positiva na situação que foi avaliada;</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0"/>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Adoção de medidas efetivas, com vistas a aprimorar o desempenho da máquina administrativa no sentido de melhorar os indicadores referentes ao Índice de Gestão Fiscal Municipal (IGFM), sobretudo daqueles índices que apresentam piora;</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0"/>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Aperfeiçoamento do planejamento e da execução das políticas públicas na área da educação e saúde para identificar os fatores que causaram a piora ou ausência de melhora dos resultados, visando o aprimoramento dos resultados, especialmente quanto aos seguintes indicadores:</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1"/>
          <w:numId w:val="2"/>
        </w:numPr>
        <w:ind w:right="-380"/>
        <w:jc w:val="both"/>
        <w:rPr>
          <w:rFonts w:ascii="Times New Roman" w:hAnsi="Times New Roman" w:cs="Times New Roman"/>
          <w:sz w:val="24"/>
          <w:szCs w:val="24"/>
        </w:rPr>
      </w:pPr>
      <w:r w:rsidRPr="000F1CE5">
        <w:rPr>
          <w:rFonts w:ascii="Times New Roman" w:hAnsi="Times New Roman" w:cs="Times New Roman"/>
          <w:b/>
          <w:sz w:val="24"/>
          <w:szCs w:val="24"/>
          <w:u w:val="single"/>
        </w:rPr>
        <w:t>na área da saúde</w:t>
      </w:r>
      <w:r w:rsidRPr="000F1CE5">
        <w:rPr>
          <w:rFonts w:ascii="Times New Roman" w:hAnsi="Times New Roman" w:cs="Times New Roman"/>
          <w:sz w:val="24"/>
          <w:szCs w:val="24"/>
        </w:rPr>
        <w:t xml:space="preserve">: </w:t>
      </w:r>
      <w:r w:rsidRPr="000F1CE5">
        <w:rPr>
          <w:rFonts w:ascii="Times New Roman" w:hAnsi="Times New Roman" w:cs="Times New Roman"/>
          <w:sz w:val="24"/>
          <w:szCs w:val="24"/>
        </w:rPr>
        <w:tab/>
      </w:r>
    </w:p>
    <w:p w:rsidR="000F1CE5" w:rsidRPr="000F1CE5" w:rsidRDefault="000F1CE5" w:rsidP="000F1CE5">
      <w:pPr>
        <w:numPr>
          <w:ilvl w:val="2"/>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 xml:space="preserve">taxa de mortalidade infantil (2015); </w:t>
      </w:r>
    </w:p>
    <w:p w:rsidR="000F1CE5" w:rsidRPr="000F1CE5" w:rsidRDefault="000F1CE5" w:rsidP="000F1CE5">
      <w:pPr>
        <w:numPr>
          <w:ilvl w:val="2"/>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Taxa de mortalidade neonatal precoce (2015);</w:t>
      </w:r>
    </w:p>
    <w:p w:rsidR="000F1CE5" w:rsidRPr="000F1CE5" w:rsidRDefault="000F1CE5" w:rsidP="000F1CE5">
      <w:pPr>
        <w:numPr>
          <w:ilvl w:val="2"/>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 xml:space="preserve">razão de exames citopatológicos cervico-vaginais em mulheres de 25 a 59 anos na população feminina nessa faixa etária (2016); </w:t>
      </w:r>
    </w:p>
    <w:p w:rsidR="000F1CE5" w:rsidRPr="000F1CE5" w:rsidRDefault="000F1CE5" w:rsidP="000F1CE5">
      <w:pPr>
        <w:numPr>
          <w:ilvl w:val="2"/>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Cobertura imunizações: Pentavalente (2016).</w:t>
      </w:r>
    </w:p>
    <w:p w:rsidR="000F1CE5" w:rsidRPr="000F1CE5" w:rsidRDefault="000F1CE5" w:rsidP="000F1CE5">
      <w:pPr>
        <w:ind w:left="2160" w:right="-380"/>
        <w:jc w:val="both"/>
        <w:rPr>
          <w:rFonts w:ascii="Times New Roman" w:hAnsi="Times New Roman" w:cs="Times New Roman"/>
          <w:sz w:val="24"/>
          <w:szCs w:val="24"/>
        </w:rPr>
      </w:pPr>
    </w:p>
    <w:p w:rsidR="000F1CE5" w:rsidRPr="000F1CE5" w:rsidRDefault="000F1CE5" w:rsidP="000F1CE5">
      <w:pPr>
        <w:numPr>
          <w:ilvl w:val="1"/>
          <w:numId w:val="2"/>
        </w:numPr>
        <w:ind w:right="-380"/>
        <w:jc w:val="both"/>
        <w:rPr>
          <w:rFonts w:ascii="Times New Roman" w:hAnsi="Times New Roman" w:cs="Times New Roman"/>
          <w:sz w:val="24"/>
          <w:szCs w:val="24"/>
        </w:rPr>
      </w:pPr>
      <w:r w:rsidRPr="000F1CE5">
        <w:rPr>
          <w:rFonts w:ascii="Times New Roman" w:hAnsi="Times New Roman" w:cs="Times New Roman"/>
          <w:b/>
          <w:sz w:val="24"/>
          <w:szCs w:val="24"/>
          <w:u w:val="single"/>
        </w:rPr>
        <w:t>na área da educação</w:t>
      </w:r>
      <w:r w:rsidRPr="000F1CE5">
        <w:rPr>
          <w:rFonts w:ascii="Times New Roman" w:hAnsi="Times New Roman" w:cs="Times New Roman"/>
          <w:sz w:val="24"/>
          <w:szCs w:val="24"/>
        </w:rPr>
        <w:t xml:space="preserve">: </w:t>
      </w:r>
    </w:p>
    <w:p w:rsidR="000F1CE5" w:rsidRPr="000F1CE5" w:rsidRDefault="000F1CE5" w:rsidP="000F1CE5">
      <w:pPr>
        <w:numPr>
          <w:ilvl w:val="2"/>
          <w:numId w:val="2"/>
        </w:numPr>
        <w:ind w:right="-380"/>
        <w:jc w:val="both"/>
        <w:rPr>
          <w:rFonts w:ascii="Times New Roman" w:hAnsi="Times New Roman" w:cs="Times New Roman"/>
          <w:sz w:val="24"/>
          <w:szCs w:val="24"/>
        </w:rPr>
      </w:pPr>
      <w:r w:rsidRPr="000F1CE5">
        <w:rPr>
          <w:rFonts w:ascii="Times New Roman" w:hAnsi="Times New Roman" w:cs="Times New Roman"/>
          <w:sz w:val="24"/>
          <w:szCs w:val="24"/>
        </w:rPr>
        <w:t xml:space="preserve">Taxa de abandono – rede municipal – 4ª série/5º ano (2016). </w:t>
      </w: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numPr>
          <w:ilvl w:val="0"/>
          <w:numId w:val="3"/>
        </w:numPr>
        <w:ind w:right="-380"/>
        <w:jc w:val="both"/>
        <w:rPr>
          <w:rFonts w:ascii="Times New Roman" w:hAnsi="Times New Roman" w:cs="Times New Roman"/>
          <w:sz w:val="24"/>
          <w:szCs w:val="24"/>
        </w:rPr>
      </w:pPr>
      <w:r w:rsidRPr="000F1CE5">
        <w:rPr>
          <w:rFonts w:ascii="Times New Roman" w:hAnsi="Times New Roman" w:cs="Times New Roman"/>
          <w:sz w:val="24"/>
          <w:szCs w:val="24"/>
        </w:rPr>
        <w:t>Proceda ao aperfeiçoamento do planejamento e da execução das políticas públicas nas áreas de saúde e educação, identificando os fatores que causaram a piora ou a ausência de melhora dos resultados das avaliações das políticas públicas, visando uma mudança positiva na situação avaliada pelo Tribunal de Contas do Estado, por ocasião da apreciação destas contas, cujos resultados deverão ser comprovados quando da apreciação das contas de governo relativas ao exercício de 2018.</w:t>
      </w:r>
    </w:p>
    <w:p w:rsidR="000F1CE5" w:rsidRPr="000F1CE5" w:rsidRDefault="000F1CE5" w:rsidP="000F1CE5">
      <w:pPr>
        <w:ind w:left="720" w:right="-380"/>
        <w:jc w:val="both"/>
        <w:rPr>
          <w:rFonts w:ascii="Times New Roman" w:hAnsi="Times New Roman" w:cs="Times New Roman"/>
          <w:sz w:val="24"/>
          <w:szCs w:val="24"/>
        </w:rPr>
      </w:pPr>
    </w:p>
    <w:p w:rsidR="000F1CE5" w:rsidRPr="000F1CE5" w:rsidRDefault="000F1CE5" w:rsidP="000F1CE5">
      <w:pPr>
        <w:numPr>
          <w:ilvl w:val="0"/>
          <w:numId w:val="3"/>
        </w:numPr>
        <w:ind w:right="-380"/>
        <w:jc w:val="both"/>
        <w:rPr>
          <w:rFonts w:ascii="Times New Roman" w:hAnsi="Times New Roman" w:cs="Times New Roman"/>
          <w:sz w:val="24"/>
          <w:szCs w:val="24"/>
        </w:rPr>
      </w:pPr>
      <w:r w:rsidRPr="000F1CE5">
        <w:rPr>
          <w:rFonts w:ascii="Times New Roman" w:hAnsi="Times New Roman" w:cs="Times New Roman"/>
          <w:sz w:val="24"/>
          <w:szCs w:val="24"/>
        </w:rPr>
        <w:t>Faça constar, explicitamente, nas peças de planejamento (PPA, LDO e LOA), programas e ações para melhorar os índices defasados de educação e saúde.</w:t>
      </w: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ind w:right="-380" w:firstLine="720"/>
        <w:jc w:val="both"/>
        <w:rPr>
          <w:rFonts w:ascii="Times New Roman" w:hAnsi="Times New Roman" w:cs="Times New Roman"/>
          <w:sz w:val="24"/>
          <w:szCs w:val="24"/>
        </w:rPr>
      </w:pPr>
      <w:r w:rsidRPr="000F1CE5">
        <w:rPr>
          <w:rFonts w:ascii="Times New Roman" w:hAnsi="Times New Roman" w:cs="Times New Roman"/>
          <w:sz w:val="24"/>
          <w:szCs w:val="24"/>
        </w:rPr>
        <w:t>Observamos por derradeiro que, apesar de o Município não ter alcançado a média nacional nos anos de 2016 e 2017 com relação à taxa de mortalidade infantil (2016) e ao índice razão de exames citopatológicos cervico-vaginais em mulheres de 25 a 59 anos na população feminina nessa faixa etária (2016), portanto, apontamentos reincidentes, esta Comissão opina pela aprovação das contas em razão de que o Poder Executivo tem envidado esforços para melhoria dos referidos índices.</w:t>
      </w:r>
    </w:p>
    <w:p w:rsidR="000F1CE5" w:rsidRPr="000F1CE5" w:rsidRDefault="000F1CE5" w:rsidP="000F1CE5">
      <w:pPr>
        <w:pStyle w:val="PargrafodaLista"/>
        <w:spacing w:after="0" w:line="240" w:lineRule="auto"/>
        <w:ind w:right="-380"/>
        <w:jc w:val="both"/>
        <w:rPr>
          <w:rFonts w:ascii="Times New Roman" w:hAnsi="Times New Roman"/>
          <w:sz w:val="24"/>
          <w:szCs w:val="24"/>
        </w:rPr>
      </w:pPr>
    </w:p>
    <w:p w:rsidR="000F1CE5" w:rsidRPr="000F1CE5" w:rsidRDefault="000F1CE5" w:rsidP="000F1CE5">
      <w:pPr>
        <w:ind w:left="720"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widowControl w:val="0"/>
        <w:autoSpaceDE w:val="0"/>
        <w:autoSpaceDN w:val="0"/>
        <w:adjustRightInd w:val="0"/>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ind w:right="-380"/>
        <w:jc w:val="both"/>
        <w:rPr>
          <w:rFonts w:ascii="Times New Roman" w:hAnsi="Times New Roman" w:cs="Times New Roman"/>
          <w:sz w:val="24"/>
          <w:szCs w:val="24"/>
        </w:rPr>
      </w:pPr>
    </w:p>
    <w:p w:rsidR="000F1CE5" w:rsidRPr="000F1CE5" w:rsidRDefault="000F1CE5" w:rsidP="000F1CE5">
      <w:pPr>
        <w:jc w:val="both"/>
        <w:rPr>
          <w:rFonts w:ascii="Times New Roman" w:hAnsi="Times New Roman" w:cs="Times New Roman"/>
          <w:sz w:val="24"/>
          <w:szCs w:val="24"/>
        </w:rPr>
      </w:pPr>
    </w:p>
    <w:p w:rsidR="000F1CE5" w:rsidRPr="000F1CE5" w:rsidRDefault="000F1CE5" w:rsidP="000F1CE5">
      <w:pPr>
        <w:jc w:val="both"/>
        <w:rPr>
          <w:rFonts w:ascii="Times New Roman" w:hAnsi="Times New Roman" w:cs="Times New Roman"/>
          <w:sz w:val="24"/>
          <w:szCs w:val="24"/>
        </w:rPr>
      </w:pPr>
    </w:p>
    <w:p w:rsidR="00013D3C" w:rsidRPr="000F1CE5" w:rsidRDefault="00013D3C" w:rsidP="000F1CE5">
      <w:pPr>
        <w:jc w:val="both"/>
        <w:rPr>
          <w:rFonts w:ascii="Times New Roman" w:hAnsi="Times New Roman" w:cs="Times New Roman"/>
          <w:sz w:val="24"/>
          <w:szCs w:val="24"/>
        </w:rPr>
      </w:pPr>
    </w:p>
    <w:p w:rsidR="000F1CE5" w:rsidRPr="000F1CE5" w:rsidRDefault="000F1CE5" w:rsidP="000F1CE5">
      <w:pPr>
        <w:jc w:val="both"/>
        <w:rPr>
          <w:rFonts w:ascii="Times New Roman" w:hAnsi="Times New Roman" w:cs="Times New Roman"/>
          <w:sz w:val="24"/>
          <w:szCs w:val="24"/>
        </w:rPr>
      </w:pPr>
    </w:p>
    <w:sectPr w:rsidR="000F1CE5" w:rsidRPr="000F1CE5" w:rsidSect="006A2105">
      <w:footerReference w:type="default" r:id="rId9"/>
      <w:pgSz w:w="11907" w:h="16840" w:code="9"/>
      <w:pgMar w:top="1021" w:right="1701" w:bottom="567" w:left="1797" w:header="0" w:footer="18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34" w:rsidRDefault="004C6334" w:rsidP="000F1CE5">
      <w:r>
        <w:separator/>
      </w:r>
    </w:p>
  </w:endnote>
  <w:endnote w:type="continuationSeparator" w:id="1">
    <w:p w:rsidR="004C6334" w:rsidRDefault="004C6334" w:rsidP="000F1C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52" w:rsidRDefault="004C6334" w:rsidP="006A2105">
    <w:pPr>
      <w:spacing w:line="360" w:lineRule="auto"/>
      <w:jc w:val="both"/>
    </w:pPr>
  </w:p>
  <w:p w:rsidR="000F1CE5" w:rsidRPr="00C20F4B" w:rsidRDefault="000F1CE5" w:rsidP="006A2105">
    <w:pPr>
      <w:spacing w:line="360" w:lineRule="auto"/>
      <w:ind w:right="-330"/>
      <w:jc w:val="both"/>
      <w:rPr>
        <w:rFonts w:ascii="Times New Roman" w:hAnsi="Times New Roman" w:cs="Times New Roman"/>
        <w:sz w:val="20"/>
        <w:szCs w:val="20"/>
      </w:rPr>
    </w:pPr>
    <w:r w:rsidRPr="00C20F4B">
      <w:rPr>
        <w:rFonts w:ascii="Times New Roman" w:hAnsi="Times New Roman" w:cs="Times New Roman"/>
        <w:sz w:val="20"/>
        <w:szCs w:val="20"/>
      </w:rPr>
      <w:t>Protocolado na Secretaria Geral da Câmara em __/___/201</w:t>
    </w:r>
    <w:r>
      <w:rPr>
        <w:rFonts w:ascii="Times New Roman" w:hAnsi="Times New Roman" w:cs="Times New Roman"/>
        <w:sz w:val="20"/>
        <w:szCs w:val="20"/>
      </w:rPr>
      <w:t>9</w:t>
    </w:r>
    <w:r w:rsidRPr="00C20F4B">
      <w:rPr>
        <w:rFonts w:ascii="Times New Roman" w:hAnsi="Times New Roman" w:cs="Times New Roman"/>
        <w:sz w:val="20"/>
        <w:szCs w:val="20"/>
      </w:rPr>
      <w:t xml:space="preserve">             ________</w:t>
    </w:r>
    <w:r>
      <w:rPr>
        <w:rFonts w:ascii="Times New Roman" w:hAnsi="Times New Roman" w:cs="Times New Roman"/>
        <w:sz w:val="20"/>
        <w:szCs w:val="20"/>
      </w:rPr>
      <w:t>________________________</w:t>
    </w:r>
  </w:p>
  <w:p w:rsidR="000F1CE5" w:rsidRDefault="000F1CE5" w:rsidP="006A2105">
    <w:pPr>
      <w:spacing w:line="360" w:lineRule="auto"/>
      <w:ind w:right="-330"/>
      <w:jc w:val="both"/>
      <w:rPr>
        <w:rFonts w:ascii="Times New Roman" w:hAnsi="Times New Roman" w:cs="Times New Roman"/>
        <w:sz w:val="20"/>
        <w:szCs w:val="20"/>
      </w:rPr>
    </w:pPr>
    <w:r w:rsidRPr="00C20F4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20F4B">
      <w:rPr>
        <w:rFonts w:ascii="Times New Roman" w:hAnsi="Times New Roman" w:cs="Times New Roman"/>
        <w:sz w:val="20"/>
        <w:szCs w:val="20"/>
      </w:rPr>
      <w:t>Protocolo</w:t>
    </w:r>
  </w:p>
  <w:p w:rsidR="000F1CE5" w:rsidRPr="00C20F4B" w:rsidRDefault="000F1CE5" w:rsidP="006A2105">
    <w:pPr>
      <w:spacing w:line="360" w:lineRule="auto"/>
      <w:ind w:right="-330"/>
      <w:jc w:val="both"/>
      <w:rPr>
        <w:rFonts w:ascii="Times New Roman" w:hAnsi="Times New Roman" w:cs="Times New Roman"/>
        <w:sz w:val="20"/>
        <w:szCs w:val="20"/>
      </w:rPr>
    </w:pPr>
    <w:r w:rsidRPr="00C20F4B">
      <w:rPr>
        <w:rFonts w:ascii="Times New Roman" w:hAnsi="Times New Roman" w:cs="Times New Roman"/>
        <w:sz w:val="20"/>
        <w:szCs w:val="20"/>
      </w:rPr>
      <w:t>Apreciado na sessão do dia ___/___/201</w:t>
    </w:r>
    <w:r>
      <w:rPr>
        <w:rFonts w:ascii="Times New Roman" w:hAnsi="Times New Roman" w:cs="Times New Roman"/>
        <w:sz w:val="20"/>
        <w:szCs w:val="20"/>
      </w:rPr>
      <w:t>9</w:t>
    </w:r>
    <w:r w:rsidRPr="00C20F4B">
      <w:rPr>
        <w:rFonts w:ascii="Times New Roman" w:hAnsi="Times New Roman" w:cs="Times New Roman"/>
        <w:sz w:val="20"/>
        <w:szCs w:val="20"/>
      </w:rPr>
      <w:t xml:space="preserve"> – Resultado: _________________</w:t>
    </w:r>
    <w:r>
      <w:rPr>
        <w:rFonts w:ascii="Times New Roman" w:hAnsi="Times New Roman" w:cs="Times New Roman"/>
        <w:sz w:val="20"/>
        <w:szCs w:val="20"/>
      </w:rPr>
      <w:t>______</w:t>
    </w:r>
    <w:r w:rsidRPr="00C20F4B">
      <w:rPr>
        <w:rFonts w:ascii="Times New Roman" w:hAnsi="Times New Roman" w:cs="Times New Roman"/>
        <w:sz w:val="20"/>
        <w:szCs w:val="20"/>
      </w:rPr>
      <w:t>_________________</w:t>
    </w:r>
    <w:r>
      <w:rPr>
        <w:rFonts w:ascii="Times New Roman" w:hAnsi="Times New Roman" w:cs="Times New Roman"/>
        <w:sz w:val="20"/>
        <w:szCs w:val="20"/>
      </w:rPr>
      <w:t>__</w:t>
    </w:r>
  </w:p>
  <w:p w:rsidR="000F1CE5" w:rsidRPr="00C20F4B" w:rsidRDefault="000F1CE5" w:rsidP="006A2105">
    <w:pPr>
      <w:spacing w:line="360" w:lineRule="auto"/>
      <w:ind w:right="-330"/>
      <w:jc w:val="both"/>
      <w:rPr>
        <w:rFonts w:ascii="Times New Roman" w:hAnsi="Times New Roman" w:cs="Times New Roman"/>
        <w:sz w:val="20"/>
        <w:szCs w:val="20"/>
      </w:rPr>
    </w:pPr>
  </w:p>
  <w:p w:rsidR="000F1CE5" w:rsidRPr="00C20F4B" w:rsidRDefault="000F1CE5" w:rsidP="006A2105">
    <w:pPr>
      <w:spacing w:line="360" w:lineRule="auto"/>
      <w:ind w:right="-330"/>
      <w:jc w:val="both"/>
      <w:rPr>
        <w:rFonts w:ascii="Times New Roman" w:hAnsi="Times New Roman" w:cs="Times New Roman"/>
        <w:sz w:val="20"/>
        <w:szCs w:val="20"/>
      </w:rPr>
    </w:pPr>
    <w:r w:rsidRPr="00C20F4B">
      <w:rPr>
        <w:rFonts w:ascii="Times New Roman" w:hAnsi="Times New Roman" w:cs="Times New Roman"/>
        <w:sz w:val="20"/>
        <w:szCs w:val="20"/>
      </w:rPr>
      <w:t>Presidente ______</w:t>
    </w:r>
    <w:r>
      <w:rPr>
        <w:rFonts w:ascii="Times New Roman" w:hAnsi="Times New Roman" w:cs="Times New Roman"/>
        <w:sz w:val="20"/>
        <w:szCs w:val="20"/>
      </w:rPr>
      <w:t>_____</w:t>
    </w:r>
    <w:r w:rsidRPr="00C20F4B">
      <w:rPr>
        <w:rFonts w:ascii="Times New Roman" w:hAnsi="Times New Roman" w:cs="Times New Roman"/>
        <w:sz w:val="20"/>
        <w:szCs w:val="20"/>
      </w:rPr>
      <w:t>__________________________</w:t>
    </w:r>
  </w:p>
  <w:p w:rsidR="000F1CE5" w:rsidRDefault="000F1CE5" w:rsidP="006A2105">
    <w:pPr>
      <w:spacing w:line="360" w:lineRule="auto"/>
      <w:ind w:right="-330"/>
    </w:pPr>
    <w:r w:rsidRPr="00C20F4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B52A52" w:rsidRDefault="004C63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34" w:rsidRDefault="004C6334" w:rsidP="000F1CE5">
      <w:r>
        <w:separator/>
      </w:r>
    </w:p>
  </w:footnote>
  <w:footnote w:type="continuationSeparator" w:id="1">
    <w:p w:rsidR="004C6334" w:rsidRDefault="004C6334" w:rsidP="000F1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D5CF2"/>
    <w:multiLevelType w:val="hybridMultilevel"/>
    <w:tmpl w:val="B0E0FB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C456417"/>
    <w:multiLevelType w:val="hybridMultilevel"/>
    <w:tmpl w:val="46103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2F62A2E"/>
    <w:multiLevelType w:val="hybridMultilevel"/>
    <w:tmpl w:val="A21229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footnotePr>
    <w:footnote w:id="0"/>
    <w:footnote w:id="1"/>
  </w:footnotePr>
  <w:endnotePr>
    <w:endnote w:id="0"/>
    <w:endnote w:id="1"/>
  </w:endnotePr>
  <w:compat/>
  <w:rsids>
    <w:rsidRoot w:val="00217F62"/>
    <w:rsid w:val="00013D3C"/>
    <w:rsid w:val="000F1CE5"/>
    <w:rsid w:val="001915A3"/>
    <w:rsid w:val="00217F62"/>
    <w:rsid w:val="0043417E"/>
    <w:rsid w:val="004C6334"/>
    <w:rsid w:val="0063145F"/>
    <w:rsid w:val="006A2105"/>
    <w:rsid w:val="00A906D8"/>
    <w:rsid w:val="00AB5A74"/>
    <w:rsid w:val="00BB13F5"/>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0F1CE5"/>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CE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F1CE5"/>
    <w:pPr>
      <w:ind w:firstLine="424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F1CE5"/>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0F1CE5"/>
    <w:pPr>
      <w:spacing w:after="200" w:line="276" w:lineRule="auto"/>
      <w:ind w:left="720"/>
      <w:contextualSpacing/>
    </w:pPr>
    <w:rPr>
      <w:rFonts w:ascii="Calibri" w:eastAsia="Calibri" w:hAnsi="Calibri" w:cs="Times New Roman"/>
    </w:rPr>
  </w:style>
  <w:style w:type="paragraph" w:styleId="Cabealho">
    <w:name w:val="header"/>
    <w:basedOn w:val="Normal"/>
    <w:link w:val="CabealhoChar"/>
    <w:uiPriority w:val="99"/>
    <w:semiHidden/>
    <w:unhideWhenUsed/>
    <w:rsid w:val="000F1CE5"/>
    <w:pPr>
      <w:tabs>
        <w:tab w:val="center" w:pos="4252"/>
        <w:tab w:val="right" w:pos="8504"/>
      </w:tabs>
    </w:pPr>
  </w:style>
  <w:style w:type="character" w:customStyle="1" w:styleId="CabealhoChar">
    <w:name w:val="Cabeçalho Char"/>
    <w:basedOn w:val="Fontepargpadro"/>
    <w:link w:val="Cabealho"/>
    <w:uiPriority w:val="99"/>
    <w:semiHidden/>
    <w:rsid w:val="000F1C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5464</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2019-06-03T13:32:00Z</cp:lastPrinted>
  <dcterms:created xsi:type="dcterms:W3CDTF">2019-06-03T13:32:00Z</dcterms:created>
  <dcterms:modified xsi:type="dcterms:W3CDTF">2019-06-03T13:32:00Z</dcterms:modified>
</cp:coreProperties>
</file>